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C2B20">
      <w:pPr>
        <w:pStyle w:val="7"/>
        <w:tabs>
          <w:tab w:val="left" w:pos="312"/>
        </w:tabs>
        <w:adjustRightInd w:val="0"/>
        <w:snapToGrid w:val="0"/>
        <w:ind w:right="0" w:firstLine="422" w:firstLineChars="200"/>
        <w:jc w:val="center"/>
        <w:rPr>
          <w:rFonts w:hint="eastAsia" w:ascii="宋体" w:hAnsi="宋体" w:eastAsia="宋体"/>
          <w:b/>
          <w:bCs/>
          <w:szCs w:val="21"/>
        </w:rPr>
      </w:pPr>
      <w:r>
        <w:rPr>
          <w:rFonts w:hint="eastAsia" w:ascii="宋体" w:hAnsi="宋体" w:eastAsia="宋体"/>
          <w:b/>
          <w:bCs/>
          <w:szCs w:val="21"/>
        </w:rPr>
        <w:t>浙江艺术职业学院</w:t>
      </w:r>
      <w:r>
        <w:rPr>
          <w:rFonts w:ascii="宋体" w:hAnsi="宋体" w:eastAsia="宋体"/>
          <w:b/>
          <w:bCs/>
          <w:szCs w:val="21"/>
        </w:rPr>
        <w:t>戏剧影视学院</w:t>
      </w:r>
    </w:p>
    <w:p w14:paraId="12AEACBD">
      <w:pPr>
        <w:pStyle w:val="7"/>
        <w:tabs>
          <w:tab w:val="left" w:pos="312"/>
        </w:tabs>
        <w:adjustRightInd w:val="0"/>
        <w:snapToGrid w:val="0"/>
        <w:ind w:right="0" w:firstLine="422" w:firstLineChars="200"/>
        <w:jc w:val="center"/>
        <w:rPr>
          <w:rFonts w:hint="eastAsia" w:ascii="宋体" w:hAnsi="宋体" w:eastAsia="宋体"/>
          <w:b/>
          <w:bCs/>
          <w:szCs w:val="21"/>
        </w:rPr>
      </w:pPr>
      <w:r>
        <w:rPr>
          <w:rFonts w:ascii="宋体" w:hAnsi="宋体" w:eastAsia="宋体"/>
          <w:b/>
          <w:bCs/>
          <w:szCs w:val="21"/>
        </w:rPr>
        <w:t>影视多媒体技术专业群教学资源库及门户建设项目（一期）建设采购</w:t>
      </w:r>
      <w:r>
        <w:rPr>
          <w:rFonts w:hint="eastAsia" w:ascii="宋体" w:hAnsi="宋体" w:eastAsia="宋体"/>
          <w:b/>
          <w:bCs/>
          <w:szCs w:val="21"/>
        </w:rPr>
        <w:t>的采购需求</w:t>
      </w:r>
    </w:p>
    <w:p w14:paraId="52258834">
      <w:pPr>
        <w:spacing w:line="360" w:lineRule="auto"/>
        <w:rPr>
          <w:rFonts w:hint="eastAsia" w:ascii="宋体" w:hAnsi="宋体" w:eastAsia="宋体"/>
          <w:szCs w:val="21"/>
          <w:lang w:val="zh-TW"/>
        </w:rPr>
      </w:pPr>
      <w:r>
        <w:rPr>
          <w:rFonts w:hint="eastAsia" w:ascii="宋体" w:hAnsi="宋体" w:eastAsia="宋体"/>
          <w:szCs w:val="21"/>
          <w:lang w:val="zh-TW"/>
        </w:rPr>
        <w:t>本项目属性为：服务</w:t>
      </w:r>
    </w:p>
    <w:p w14:paraId="724D484E">
      <w:pPr>
        <w:spacing w:line="360" w:lineRule="auto"/>
        <w:rPr>
          <w:rFonts w:hint="default" w:ascii="宋体" w:hAnsi="宋体" w:eastAsia="宋体"/>
          <w:szCs w:val="21"/>
          <w:lang w:val="en-US" w:eastAsia="zh-CN"/>
        </w:rPr>
      </w:pPr>
      <w:r>
        <w:rPr>
          <w:rFonts w:hint="eastAsia" w:ascii="宋体" w:hAnsi="宋体" w:eastAsia="宋体"/>
          <w:szCs w:val="21"/>
          <w:lang w:val="en-US" w:eastAsia="zh-CN"/>
        </w:rPr>
        <w:t>本项目预算上限：40万</w:t>
      </w:r>
    </w:p>
    <w:p w14:paraId="04E71FEA">
      <w:pPr>
        <w:spacing w:line="360" w:lineRule="auto"/>
        <w:rPr>
          <w:rFonts w:hint="eastAsia" w:ascii="宋体" w:hAnsi="宋体" w:eastAsia="宋体"/>
          <w:b/>
          <w:bCs/>
          <w:szCs w:val="21"/>
          <w:lang w:eastAsia="zh-TW"/>
        </w:rPr>
      </w:pPr>
      <w:r>
        <w:rPr>
          <w:rFonts w:hint="eastAsia" w:ascii="宋体" w:hAnsi="宋体" w:eastAsia="宋体"/>
          <w:szCs w:val="21"/>
          <w:lang w:val="zh-TW"/>
        </w:rPr>
        <w:t>面向中小企业：软件和信息技术服务业</w:t>
      </w:r>
    </w:p>
    <w:p w14:paraId="31C01280">
      <w:pPr>
        <w:pStyle w:val="8"/>
        <w:outlineLvl w:val="1"/>
        <w:rPr>
          <w:rStyle w:val="9"/>
          <w:rFonts w:hint="eastAsia" w:ascii="宋体" w:hAnsi="宋体" w:cs="宋体"/>
          <w:color w:val="auto"/>
          <w:sz w:val="21"/>
          <w:szCs w:val="21"/>
        </w:rPr>
      </w:pPr>
      <w:r>
        <w:rPr>
          <w:rStyle w:val="9"/>
          <w:rFonts w:hint="eastAsia" w:ascii="宋体" w:hAnsi="宋体" w:cs="宋体"/>
          <w:color w:val="auto"/>
          <w:sz w:val="21"/>
          <w:szCs w:val="21"/>
        </w:rPr>
        <w:t>一</w:t>
      </w:r>
      <w:r>
        <w:rPr>
          <w:rStyle w:val="9"/>
          <w:rFonts w:ascii="宋体" w:hAnsi="宋体" w:cs="宋体"/>
          <w:color w:val="auto"/>
          <w:sz w:val="21"/>
          <w:szCs w:val="21"/>
        </w:rPr>
        <w:t>、</w:t>
      </w:r>
      <w:r>
        <w:rPr>
          <w:rStyle w:val="9"/>
          <w:rFonts w:hint="eastAsia" w:ascii="宋体" w:hAnsi="宋体" w:cs="宋体"/>
          <w:color w:val="auto"/>
          <w:sz w:val="21"/>
          <w:szCs w:val="21"/>
        </w:rPr>
        <w:t>采购资金的支付方式、时间、条件：</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80"/>
        <w:gridCol w:w="6642"/>
      </w:tblGrid>
      <w:tr w14:paraId="34CC4E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1103" w:type="pct"/>
            <w:tcBorders>
              <w:top w:val="single" w:color="auto" w:sz="4" w:space="0"/>
              <w:bottom w:val="single" w:color="auto" w:sz="4" w:space="0"/>
              <w:right w:val="single" w:color="auto" w:sz="4" w:space="0"/>
            </w:tcBorders>
            <w:vAlign w:val="center"/>
          </w:tcPr>
          <w:p w14:paraId="30927EB6">
            <w:pPr>
              <w:adjustRightInd w:val="0"/>
              <w:snapToGrid w:val="0"/>
              <w:spacing w:line="240" w:lineRule="atLeast"/>
              <w:jc w:val="center"/>
              <w:rPr>
                <w:rFonts w:hint="eastAsia" w:ascii="宋体" w:hAnsi="宋体" w:eastAsia="宋体"/>
                <w:spacing w:val="-6"/>
                <w:szCs w:val="21"/>
              </w:rPr>
            </w:pPr>
            <w:r>
              <w:rPr>
                <w:rFonts w:hint="eastAsia" w:ascii="宋体" w:hAnsi="宋体" w:eastAsia="宋体"/>
                <w:szCs w:val="21"/>
              </w:rPr>
              <w:t>付款方式</w:t>
            </w:r>
          </w:p>
        </w:tc>
        <w:tc>
          <w:tcPr>
            <w:tcW w:w="3897" w:type="pct"/>
            <w:tcBorders>
              <w:top w:val="single" w:color="auto" w:sz="4" w:space="0"/>
              <w:left w:val="single" w:color="auto" w:sz="4" w:space="0"/>
              <w:bottom w:val="single" w:color="auto" w:sz="4" w:space="0"/>
            </w:tcBorders>
            <w:vAlign w:val="center"/>
          </w:tcPr>
          <w:p w14:paraId="7F13C728">
            <w:pPr>
              <w:adjustRightInd w:val="0"/>
              <w:snapToGrid w:val="0"/>
              <w:spacing w:line="240" w:lineRule="atLeast"/>
              <w:rPr>
                <w:rFonts w:hint="eastAsia" w:ascii="宋体" w:hAnsi="宋体" w:eastAsia="宋体"/>
                <w:spacing w:val="-6"/>
                <w:szCs w:val="21"/>
              </w:rPr>
            </w:pPr>
            <w:r>
              <w:rPr>
                <w:rFonts w:ascii="宋体" w:hAnsi="宋体" w:eastAsia="宋体"/>
                <w:spacing w:val="-6"/>
                <w:szCs w:val="21"/>
              </w:rPr>
              <w:t>合同签订后，甲方收到乙方开具的正规发票后向乙方支付合同总额40%，项目验收完成后，支付项目尾款</w:t>
            </w:r>
            <w:r>
              <w:rPr>
                <w:rFonts w:hint="eastAsia" w:ascii="宋体" w:hAnsi="宋体" w:eastAsia="宋体"/>
                <w:spacing w:val="-6"/>
                <w:szCs w:val="21"/>
                <w:lang w:val="en-US" w:eastAsia="zh-CN"/>
              </w:rPr>
              <w:t>60%</w:t>
            </w:r>
            <w:r>
              <w:rPr>
                <w:rFonts w:ascii="宋体" w:hAnsi="宋体" w:eastAsia="宋体"/>
                <w:spacing w:val="-6"/>
                <w:szCs w:val="21"/>
              </w:rPr>
              <w:t>。</w:t>
            </w:r>
          </w:p>
        </w:tc>
      </w:tr>
    </w:tbl>
    <w:p w14:paraId="504E16FA">
      <w:pPr>
        <w:pStyle w:val="10"/>
        <w:adjustRightInd w:val="0"/>
        <w:snapToGrid w:val="0"/>
        <w:spacing w:line="276" w:lineRule="auto"/>
        <w:jc w:val="both"/>
        <w:outlineLvl w:val="0"/>
        <w:rPr>
          <w:rStyle w:val="9"/>
          <w:rFonts w:hint="eastAsia" w:cs="宋体"/>
          <w:color w:val="auto"/>
          <w:sz w:val="21"/>
          <w:szCs w:val="21"/>
        </w:rPr>
      </w:pPr>
      <w:r>
        <w:rPr>
          <w:rStyle w:val="9"/>
          <w:rFonts w:hint="eastAsia" w:cs="宋体"/>
          <w:color w:val="auto"/>
          <w:sz w:val="21"/>
          <w:szCs w:val="21"/>
          <w:lang w:val="en-US" w:eastAsia="zh-CN"/>
        </w:rPr>
        <w:t>二</w:t>
      </w:r>
      <w:r>
        <w:rPr>
          <w:rStyle w:val="9"/>
          <w:rFonts w:hint="eastAsia" w:cs="宋体"/>
          <w:color w:val="auto"/>
          <w:sz w:val="21"/>
          <w:szCs w:val="21"/>
        </w:rPr>
        <w:t>、技术要求</w:t>
      </w:r>
    </w:p>
    <w:p w14:paraId="4E481DF9">
      <w:pPr>
        <w:adjustRightInd w:val="0"/>
        <w:snapToGrid w:val="0"/>
        <w:spacing w:line="276" w:lineRule="auto"/>
        <w:outlineLvl w:val="1"/>
        <w:rPr>
          <w:rFonts w:hint="eastAsia" w:ascii="宋体" w:hAnsi="宋体" w:eastAsia="宋体" w:cs="Times New Roman"/>
          <w:b/>
          <w:szCs w:val="21"/>
        </w:rPr>
      </w:pPr>
      <w:r>
        <w:rPr>
          <w:rFonts w:ascii="宋体" w:hAnsi="宋体" w:eastAsia="宋体" w:cs="Times New Roman"/>
          <w:b/>
          <w:szCs w:val="21"/>
        </w:rPr>
        <w:t>1</w:t>
      </w:r>
      <w:r>
        <w:rPr>
          <w:rFonts w:hint="eastAsia" w:ascii="宋体" w:hAnsi="宋体" w:eastAsia="宋体" w:cs="Times New Roman"/>
          <w:b/>
          <w:szCs w:val="21"/>
        </w:rPr>
        <w:t>、项目概况</w:t>
      </w:r>
    </w:p>
    <w:p w14:paraId="0D75EC62">
      <w:pPr>
        <w:spacing w:after="80" w:line="276" w:lineRule="auto"/>
        <w:ind w:firstLine="480"/>
        <w:rPr>
          <w:rFonts w:hint="eastAsia" w:ascii="宋体" w:hAnsi="宋体" w:eastAsia="宋体"/>
          <w:szCs w:val="21"/>
        </w:rPr>
      </w:pPr>
      <w:r>
        <w:rPr>
          <w:rFonts w:ascii="宋体" w:hAnsi="宋体" w:eastAsia="宋体"/>
          <w:szCs w:val="21"/>
        </w:rPr>
        <w:t>为深入落实双高专业群建设计划，紧跟大视听产业迭代升级趋势，戏剧影视学院拟整合“紧跟产业迭代，构建数字化教学新生态”相关建设任务，统一建设影视多媒体技术专业群门户网站。</w:t>
      </w:r>
    </w:p>
    <w:p w14:paraId="4010DB71">
      <w:pPr>
        <w:spacing w:after="80" w:line="360" w:lineRule="auto"/>
        <w:ind w:firstLine="480"/>
        <w:rPr>
          <w:rFonts w:hint="eastAsia" w:ascii="宋体" w:hAnsi="宋体" w:eastAsia="宋体"/>
          <w:szCs w:val="21"/>
        </w:rPr>
      </w:pPr>
      <w:r>
        <w:rPr>
          <w:rFonts w:ascii="宋体" w:hAnsi="宋体" w:eastAsia="宋体"/>
          <w:szCs w:val="21"/>
        </w:rPr>
        <w:t>本项目以影视多媒体技术专业群的人才培养定位为基础，围绕大视听产业链内容生产与传播的核心环节，构建以“数智融创”为内核、以“能力图谱”为基石的数字化教学生态系统，紧密对接产业链、能力链、创新链，遵循“岗位需求分析—能力指标拆解—课程体系重构”的建设逻辑，将AIGC技术、视听项目制作流程与思政育人元素深度融入教学各环节，系统提升学生的艺术素养、技术技能与创新思维，为大视听产业持续输送德艺双馨的数智视听技术技能人才。</w:t>
      </w:r>
    </w:p>
    <w:p w14:paraId="0B18371B">
      <w:pPr>
        <w:spacing w:after="80" w:line="360" w:lineRule="auto"/>
        <w:ind w:firstLine="480"/>
        <w:rPr>
          <w:rFonts w:hint="eastAsia" w:ascii="宋体" w:hAnsi="宋体" w:eastAsia="宋体"/>
          <w:szCs w:val="21"/>
        </w:rPr>
      </w:pPr>
      <w:r>
        <w:rPr>
          <w:rFonts w:ascii="宋体" w:hAnsi="宋体" w:eastAsia="宋体"/>
          <w:szCs w:val="21"/>
        </w:rPr>
        <w:t>依托“大视听职教数据”底座，以可视化方式全景呈现专业群建设全貌，构建专业群中心门户、群内专业门户、教学资源库与职教数据中心相互联动、数据互通的一体化平台体系，打造专业群建设的一站式总览窗口和统一数据底座，全面支撑教学质量监测、人才培养方案优化、AI学伴个性化学习服务及专业达成度分析，助力专业群数字化教学新生态建设。</w:t>
      </w:r>
    </w:p>
    <w:p w14:paraId="002AE510">
      <w:pPr>
        <w:spacing w:line="360" w:lineRule="auto"/>
        <w:ind w:firstLine="420" w:firstLineChars="200"/>
        <w:rPr>
          <w:rFonts w:hint="eastAsia" w:ascii="宋体" w:hAnsi="宋体" w:eastAsia="宋体"/>
          <w:szCs w:val="21"/>
        </w:rPr>
      </w:pPr>
      <w:r>
        <w:rPr>
          <w:rFonts w:hint="eastAsia" w:ascii="宋体" w:hAnsi="宋体" w:eastAsia="宋体"/>
          <w:szCs w:val="21"/>
        </w:rPr>
        <w:t>“十四五”国家级规划教材提到鼓励建设知识图谱、能力图谱，适应高等学校多样化人才培养需求，供应商需要有能力支持将智慧课程需要能与新形态教材进行融合，需包含可视化章节知识地图、数字教材知识口令、教材整体知识图谱等内容。为响应教育部虚拟教研室建设和援藏援疆的号召，促进我校优质课程教学资源西行共享育人，优质课程既能服务本校师生，同时也服务到西部地区教育发展，我院积极深入贯彻深入推进信息技术与教育教学相融合，供应商需具备支持东西部地区课程同步教学、线上线下融合、协助跨区域跨校进行优质课程的建设，提供稳定的音视频直播互动技术支撑各校之间的互动交流。</w:t>
      </w:r>
    </w:p>
    <w:p w14:paraId="0DACCE69">
      <w:pPr>
        <w:adjustRightInd w:val="0"/>
        <w:snapToGrid w:val="0"/>
        <w:spacing w:line="360" w:lineRule="auto"/>
        <w:ind w:firstLine="420" w:firstLineChars="200"/>
        <w:rPr>
          <w:rFonts w:hint="eastAsia" w:ascii="宋体" w:hAnsi="宋体" w:eastAsia="宋体"/>
          <w:szCs w:val="21"/>
        </w:rPr>
      </w:pPr>
      <w:r>
        <w:rPr>
          <w:rFonts w:hint="eastAsia" w:ascii="宋体" w:hAnsi="宋体" w:eastAsia="宋体"/>
          <w:szCs w:val="21"/>
        </w:rPr>
        <w:t>随着智能化信息化时代的发展，课程建设更加需要强调数字化资源的整合，为进一步丰富教学内容与学习场景，供应商可以提供虚拟仿真实验课程供学校开展课程建设。依托虚拟仿真技术，可实现实验过程的可视化与交互化，弥补传统教学中实验条件受限、成本较高等问题，提升学生的实践操作能力与创新思维。</w:t>
      </w:r>
      <w:r>
        <w:rPr>
          <w:rFonts w:ascii="宋体" w:hAnsi="宋体" w:eastAsia="宋体"/>
          <w:szCs w:val="21"/>
        </w:rPr>
        <w:t>投标人应具备丰富的专业群资源建设经验，能够支持本项目</w:t>
      </w:r>
      <w:r>
        <w:rPr>
          <w:rFonts w:hint="eastAsia" w:ascii="宋体" w:hAnsi="宋体" w:eastAsia="宋体"/>
          <w:szCs w:val="21"/>
        </w:rPr>
        <w:t>后续</w:t>
      </w:r>
      <w:r>
        <w:rPr>
          <w:rFonts w:ascii="宋体" w:hAnsi="宋体" w:eastAsia="宋体"/>
          <w:szCs w:val="21"/>
        </w:rPr>
        <w:t>课程上线全国性高校课程共享联盟平台，开展课程共享与运行，持续提升我院影视多媒体技术专业群建设的全国影响力。。</w:t>
      </w:r>
    </w:p>
    <w:p w14:paraId="3FF4728B">
      <w:pPr>
        <w:adjustRightInd w:val="0"/>
        <w:snapToGrid w:val="0"/>
        <w:spacing w:line="276" w:lineRule="auto"/>
        <w:outlineLvl w:val="1"/>
        <w:rPr>
          <w:rFonts w:hint="eastAsia" w:ascii="宋体" w:hAnsi="宋体" w:eastAsia="宋体" w:cs="Times New Roman"/>
          <w:b/>
          <w:szCs w:val="21"/>
        </w:rPr>
      </w:pPr>
      <w:r>
        <w:rPr>
          <w:rFonts w:hint="eastAsia" w:ascii="宋体" w:hAnsi="宋体" w:eastAsia="宋体" w:cs="Times New Roman"/>
          <w:b/>
          <w:szCs w:val="21"/>
        </w:rPr>
        <w:t>2、建设内容</w:t>
      </w:r>
    </w:p>
    <w:p w14:paraId="01554AA5">
      <w:pPr>
        <w:spacing w:after="80" w:line="276" w:lineRule="auto"/>
        <w:ind w:firstLine="480"/>
        <w:rPr>
          <w:rFonts w:hint="eastAsia" w:ascii="宋体" w:hAnsi="宋体" w:eastAsia="宋体"/>
          <w:szCs w:val="21"/>
        </w:rPr>
      </w:pPr>
      <w:r>
        <w:rPr>
          <w:rFonts w:ascii="宋体" w:hAnsi="宋体" w:eastAsia="宋体"/>
          <w:szCs w:val="21"/>
        </w:rPr>
        <w:t>依托“大视听职教数据”底座，以可视化方式全景呈现专业群建设全貌，构建专业群中心门户、群内专业门户、教学资源库与职教数据中心相互联动、数据互通的一体化平台体系，打造专业群建设的一站式总览窗口和统一数据底座，全面支撑教学质量监测、人才培养方案优化、AI学伴个性化学习服务及专业达成度分析，助力专业群数字化教学新生态建设。</w:t>
      </w:r>
    </w:p>
    <w:p w14:paraId="03E99155">
      <w:pPr>
        <w:spacing w:after="80" w:line="276" w:lineRule="auto"/>
        <w:ind w:firstLine="480"/>
        <w:rPr>
          <w:rFonts w:hint="eastAsia" w:ascii="宋体" w:hAnsi="宋体" w:eastAsia="宋体"/>
          <w:szCs w:val="21"/>
        </w:rPr>
      </w:pPr>
      <w:r>
        <w:rPr>
          <w:rFonts w:ascii="宋体" w:hAnsi="宋体" w:eastAsia="宋体"/>
          <w:szCs w:val="21"/>
        </w:rPr>
        <w:t>本项目为一期建设，主要建设内容包括专业群中心门户平台、群内专业门户平台、“视听智作”教学资源库、大视听职教数据中心四个模块，具体如下表所示：</w:t>
      </w:r>
    </w:p>
    <w:tbl>
      <w:tblPr>
        <w:tblStyle w:val="5"/>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41"/>
        <w:gridCol w:w="2374"/>
        <w:gridCol w:w="5711"/>
      </w:tblGrid>
      <w:tr w14:paraId="3A07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41" w:type="dxa"/>
            <w:tcBorders>
              <w:top w:val="single" w:color="808080" w:sz="4" w:space="0"/>
              <w:left w:val="single" w:color="808080" w:sz="4" w:space="0"/>
              <w:bottom w:val="single" w:color="808080" w:sz="4" w:space="0"/>
              <w:right w:val="single" w:color="808080" w:sz="4" w:space="0"/>
            </w:tcBorders>
            <w:shd w:val="clear" w:color="auto" w:fill="D9E2F3"/>
            <w:tcMar>
              <w:top w:w="60" w:type="dxa"/>
              <w:left w:w="90" w:type="dxa"/>
              <w:bottom w:w="60" w:type="dxa"/>
              <w:right w:w="90" w:type="dxa"/>
            </w:tcMar>
            <w:vAlign w:val="center"/>
          </w:tcPr>
          <w:p w14:paraId="4E14E816">
            <w:pPr>
              <w:spacing w:line="276" w:lineRule="auto"/>
              <w:jc w:val="center"/>
              <w:rPr>
                <w:rFonts w:hint="eastAsia" w:ascii="宋体" w:hAnsi="宋体" w:eastAsia="宋体"/>
                <w:szCs w:val="21"/>
              </w:rPr>
            </w:pPr>
            <w:r>
              <w:rPr>
                <w:rFonts w:ascii="宋体" w:hAnsi="宋体" w:eastAsia="宋体"/>
                <w:b/>
                <w:bCs/>
                <w:szCs w:val="21"/>
              </w:rPr>
              <w:t>序号</w:t>
            </w:r>
          </w:p>
        </w:tc>
        <w:tc>
          <w:tcPr>
            <w:tcW w:w="2374" w:type="dxa"/>
            <w:tcBorders>
              <w:top w:val="single" w:color="808080" w:sz="4" w:space="0"/>
              <w:left w:val="single" w:color="808080" w:sz="4" w:space="0"/>
              <w:bottom w:val="single" w:color="808080" w:sz="4" w:space="0"/>
              <w:right w:val="single" w:color="808080" w:sz="4" w:space="0"/>
            </w:tcBorders>
            <w:shd w:val="clear" w:color="auto" w:fill="D9E2F3"/>
            <w:tcMar>
              <w:top w:w="60" w:type="dxa"/>
              <w:left w:w="90" w:type="dxa"/>
              <w:bottom w:w="60" w:type="dxa"/>
              <w:right w:w="90" w:type="dxa"/>
            </w:tcMar>
            <w:vAlign w:val="center"/>
          </w:tcPr>
          <w:p w14:paraId="24AF2138">
            <w:pPr>
              <w:spacing w:line="276" w:lineRule="auto"/>
              <w:jc w:val="center"/>
              <w:rPr>
                <w:rFonts w:hint="eastAsia" w:ascii="宋体" w:hAnsi="宋体" w:eastAsia="宋体"/>
                <w:szCs w:val="21"/>
              </w:rPr>
            </w:pPr>
            <w:r>
              <w:rPr>
                <w:rFonts w:ascii="宋体" w:hAnsi="宋体" w:eastAsia="宋体"/>
                <w:b/>
                <w:bCs/>
                <w:szCs w:val="21"/>
              </w:rPr>
              <w:t>建设模块</w:t>
            </w:r>
          </w:p>
        </w:tc>
        <w:tc>
          <w:tcPr>
            <w:tcW w:w="5711" w:type="dxa"/>
            <w:tcBorders>
              <w:top w:val="single" w:color="808080" w:sz="4" w:space="0"/>
              <w:left w:val="single" w:color="808080" w:sz="4" w:space="0"/>
              <w:bottom w:val="single" w:color="808080" w:sz="4" w:space="0"/>
              <w:right w:val="single" w:color="808080" w:sz="4" w:space="0"/>
            </w:tcBorders>
            <w:shd w:val="clear" w:color="auto" w:fill="D9E2F3"/>
            <w:tcMar>
              <w:top w:w="60" w:type="dxa"/>
              <w:left w:w="90" w:type="dxa"/>
              <w:bottom w:w="60" w:type="dxa"/>
              <w:right w:w="90" w:type="dxa"/>
            </w:tcMar>
            <w:vAlign w:val="center"/>
          </w:tcPr>
          <w:p w14:paraId="0166DBB8">
            <w:pPr>
              <w:spacing w:line="276" w:lineRule="auto"/>
              <w:jc w:val="center"/>
              <w:rPr>
                <w:rFonts w:hint="eastAsia" w:ascii="宋体" w:hAnsi="宋体" w:eastAsia="宋体"/>
                <w:szCs w:val="21"/>
              </w:rPr>
            </w:pPr>
            <w:r>
              <w:rPr>
                <w:rFonts w:ascii="宋体" w:hAnsi="宋体" w:eastAsia="宋体"/>
                <w:b/>
                <w:bCs/>
                <w:szCs w:val="21"/>
              </w:rPr>
              <w:t>内容说明</w:t>
            </w:r>
          </w:p>
        </w:tc>
      </w:tr>
      <w:tr w14:paraId="703F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41" w:type="dxa"/>
            <w:tcBorders>
              <w:top w:val="single" w:color="808080" w:sz="4" w:space="0"/>
              <w:left w:val="single" w:color="808080" w:sz="4" w:space="0"/>
              <w:bottom w:val="single" w:color="808080" w:sz="4" w:space="0"/>
              <w:right w:val="single" w:color="808080" w:sz="4" w:space="0"/>
            </w:tcBorders>
            <w:tcMar>
              <w:top w:w="60" w:type="dxa"/>
              <w:left w:w="90" w:type="dxa"/>
              <w:bottom w:w="60" w:type="dxa"/>
              <w:right w:w="90" w:type="dxa"/>
            </w:tcMar>
            <w:vAlign w:val="center"/>
          </w:tcPr>
          <w:p w14:paraId="06A4CC24">
            <w:pPr>
              <w:spacing w:line="276" w:lineRule="auto"/>
              <w:jc w:val="center"/>
              <w:rPr>
                <w:rFonts w:hint="eastAsia" w:ascii="宋体" w:hAnsi="宋体" w:eastAsia="宋体"/>
                <w:szCs w:val="21"/>
              </w:rPr>
            </w:pPr>
            <w:r>
              <w:rPr>
                <w:rFonts w:ascii="宋体" w:hAnsi="宋体" w:eastAsia="宋体"/>
                <w:szCs w:val="21"/>
              </w:rPr>
              <w:t>1</w:t>
            </w:r>
          </w:p>
        </w:tc>
        <w:tc>
          <w:tcPr>
            <w:tcW w:w="2374" w:type="dxa"/>
            <w:tcBorders>
              <w:top w:val="single" w:color="808080" w:sz="4" w:space="0"/>
              <w:left w:val="single" w:color="808080" w:sz="4" w:space="0"/>
              <w:bottom w:val="single" w:color="808080" w:sz="4" w:space="0"/>
              <w:right w:val="single" w:color="808080" w:sz="4" w:space="0"/>
            </w:tcBorders>
            <w:tcMar>
              <w:top w:w="60" w:type="dxa"/>
              <w:left w:w="90" w:type="dxa"/>
              <w:bottom w:w="60" w:type="dxa"/>
              <w:right w:w="90" w:type="dxa"/>
            </w:tcMar>
            <w:vAlign w:val="center"/>
          </w:tcPr>
          <w:p w14:paraId="56CA9DFF">
            <w:pPr>
              <w:spacing w:line="276" w:lineRule="auto"/>
              <w:rPr>
                <w:rFonts w:hint="eastAsia" w:ascii="宋体" w:hAnsi="宋体" w:eastAsia="宋体"/>
                <w:szCs w:val="21"/>
              </w:rPr>
            </w:pPr>
            <w:r>
              <w:rPr>
                <w:rFonts w:ascii="宋体" w:hAnsi="宋体" w:eastAsia="宋体"/>
                <w:szCs w:val="21"/>
              </w:rPr>
              <w:t>专业群中心门户平台</w:t>
            </w:r>
          </w:p>
        </w:tc>
        <w:tc>
          <w:tcPr>
            <w:tcW w:w="5711" w:type="dxa"/>
            <w:tcBorders>
              <w:top w:val="single" w:color="808080" w:sz="4" w:space="0"/>
              <w:left w:val="single" w:color="808080" w:sz="4" w:space="0"/>
              <w:bottom w:val="single" w:color="808080" w:sz="4" w:space="0"/>
              <w:right w:val="single" w:color="808080" w:sz="4" w:space="0"/>
            </w:tcBorders>
            <w:tcMar>
              <w:top w:w="60" w:type="dxa"/>
              <w:left w:w="90" w:type="dxa"/>
              <w:bottom w:w="60" w:type="dxa"/>
              <w:right w:w="90" w:type="dxa"/>
            </w:tcMar>
            <w:vAlign w:val="center"/>
          </w:tcPr>
          <w:p w14:paraId="6DF86BB5">
            <w:pPr>
              <w:spacing w:line="276" w:lineRule="auto"/>
              <w:rPr>
                <w:rFonts w:hint="eastAsia" w:ascii="宋体" w:hAnsi="宋体" w:eastAsia="宋体"/>
                <w:szCs w:val="21"/>
              </w:rPr>
            </w:pPr>
            <w:r>
              <w:rPr>
                <w:rFonts w:ascii="宋体" w:hAnsi="宋体" w:eastAsia="宋体"/>
                <w:szCs w:val="21"/>
              </w:rPr>
              <w:t>专业群首页，展示专业群简介、开设专业、组群逻辑，呈现产业链全景图及产业数据，并提供AI智能助手接口。</w:t>
            </w:r>
          </w:p>
        </w:tc>
      </w:tr>
      <w:tr w14:paraId="37BE6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41" w:type="dxa"/>
            <w:tcBorders>
              <w:top w:val="single" w:color="808080" w:sz="4" w:space="0"/>
              <w:left w:val="single" w:color="808080" w:sz="4" w:space="0"/>
              <w:bottom w:val="single" w:color="808080" w:sz="4" w:space="0"/>
              <w:right w:val="single" w:color="808080" w:sz="4" w:space="0"/>
            </w:tcBorders>
            <w:tcMar>
              <w:top w:w="60" w:type="dxa"/>
              <w:left w:w="90" w:type="dxa"/>
              <w:bottom w:w="60" w:type="dxa"/>
              <w:right w:w="90" w:type="dxa"/>
            </w:tcMar>
            <w:vAlign w:val="center"/>
          </w:tcPr>
          <w:p w14:paraId="398EBF8D">
            <w:pPr>
              <w:spacing w:line="276" w:lineRule="auto"/>
              <w:jc w:val="center"/>
              <w:rPr>
                <w:rFonts w:hint="eastAsia" w:ascii="宋体" w:hAnsi="宋体" w:eastAsia="宋体"/>
                <w:szCs w:val="21"/>
              </w:rPr>
            </w:pPr>
            <w:r>
              <w:rPr>
                <w:rFonts w:ascii="宋体" w:hAnsi="宋体" w:eastAsia="宋体"/>
                <w:szCs w:val="21"/>
              </w:rPr>
              <w:t>2</w:t>
            </w:r>
          </w:p>
        </w:tc>
        <w:tc>
          <w:tcPr>
            <w:tcW w:w="2374" w:type="dxa"/>
            <w:tcBorders>
              <w:top w:val="single" w:color="808080" w:sz="4" w:space="0"/>
              <w:left w:val="single" w:color="808080" w:sz="4" w:space="0"/>
              <w:bottom w:val="single" w:color="808080" w:sz="4" w:space="0"/>
              <w:right w:val="single" w:color="808080" w:sz="4" w:space="0"/>
            </w:tcBorders>
            <w:tcMar>
              <w:top w:w="60" w:type="dxa"/>
              <w:left w:w="90" w:type="dxa"/>
              <w:bottom w:w="60" w:type="dxa"/>
              <w:right w:w="90" w:type="dxa"/>
            </w:tcMar>
            <w:vAlign w:val="center"/>
          </w:tcPr>
          <w:p w14:paraId="28764D2E">
            <w:pPr>
              <w:spacing w:line="276" w:lineRule="auto"/>
              <w:rPr>
                <w:rFonts w:hint="eastAsia" w:ascii="宋体" w:hAnsi="宋体" w:eastAsia="宋体"/>
                <w:szCs w:val="21"/>
              </w:rPr>
            </w:pPr>
            <w:r>
              <w:rPr>
                <w:rFonts w:ascii="宋体" w:hAnsi="宋体" w:eastAsia="宋体"/>
                <w:szCs w:val="21"/>
              </w:rPr>
              <w:t>群内专业门户平台</w:t>
            </w:r>
          </w:p>
        </w:tc>
        <w:tc>
          <w:tcPr>
            <w:tcW w:w="5711" w:type="dxa"/>
            <w:tcBorders>
              <w:top w:val="single" w:color="808080" w:sz="4" w:space="0"/>
              <w:left w:val="single" w:color="808080" w:sz="4" w:space="0"/>
              <w:bottom w:val="single" w:color="808080" w:sz="4" w:space="0"/>
              <w:right w:val="single" w:color="808080" w:sz="4" w:space="0"/>
            </w:tcBorders>
            <w:tcMar>
              <w:top w:w="60" w:type="dxa"/>
              <w:left w:w="90" w:type="dxa"/>
              <w:bottom w:w="60" w:type="dxa"/>
              <w:right w:w="90" w:type="dxa"/>
            </w:tcMar>
            <w:vAlign w:val="center"/>
          </w:tcPr>
          <w:p w14:paraId="0C85BCF1">
            <w:pPr>
              <w:spacing w:line="276" w:lineRule="auto"/>
              <w:rPr>
                <w:rFonts w:hint="eastAsia" w:ascii="宋体" w:hAnsi="宋体" w:eastAsia="宋体"/>
                <w:szCs w:val="21"/>
              </w:rPr>
            </w:pPr>
            <w:r>
              <w:rPr>
                <w:rFonts w:ascii="宋体" w:hAnsi="宋体" w:eastAsia="宋体"/>
                <w:szCs w:val="21"/>
              </w:rPr>
              <w:t>面向群内专业提供特色展示与AI应用，结构化呈现人才培养方案，展示培养目标、培养规格等关键信息，重构专业顶层设计，支持人才培养方案规范化管理，构建基于培养目标的课程关系与学习路径。</w:t>
            </w:r>
          </w:p>
        </w:tc>
      </w:tr>
      <w:tr w14:paraId="12A49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41" w:type="dxa"/>
            <w:tcBorders>
              <w:top w:val="single" w:color="808080" w:sz="4" w:space="0"/>
              <w:left w:val="single" w:color="808080" w:sz="4" w:space="0"/>
              <w:bottom w:val="single" w:color="808080" w:sz="4" w:space="0"/>
              <w:right w:val="single" w:color="808080" w:sz="4" w:space="0"/>
            </w:tcBorders>
            <w:tcMar>
              <w:top w:w="60" w:type="dxa"/>
              <w:left w:w="90" w:type="dxa"/>
              <w:bottom w:w="60" w:type="dxa"/>
              <w:right w:w="90" w:type="dxa"/>
            </w:tcMar>
            <w:vAlign w:val="center"/>
          </w:tcPr>
          <w:p w14:paraId="37F963CD">
            <w:pPr>
              <w:spacing w:line="276" w:lineRule="auto"/>
              <w:jc w:val="center"/>
              <w:rPr>
                <w:rFonts w:hint="eastAsia" w:ascii="宋体" w:hAnsi="宋体" w:eastAsia="宋体"/>
                <w:szCs w:val="21"/>
              </w:rPr>
            </w:pPr>
            <w:r>
              <w:rPr>
                <w:rFonts w:ascii="宋体" w:hAnsi="宋体" w:eastAsia="宋体"/>
                <w:szCs w:val="21"/>
              </w:rPr>
              <w:t>3</w:t>
            </w:r>
          </w:p>
        </w:tc>
        <w:tc>
          <w:tcPr>
            <w:tcW w:w="2374" w:type="dxa"/>
            <w:tcBorders>
              <w:top w:val="single" w:color="808080" w:sz="4" w:space="0"/>
              <w:left w:val="single" w:color="808080" w:sz="4" w:space="0"/>
              <w:bottom w:val="single" w:color="808080" w:sz="4" w:space="0"/>
              <w:right w:val="single" w:color="808080" w:sz="4" w:space="0"/>
            </w:tcBorders>
            <w:tcMar>
              <w:top w:w="60" w:type="dxa"/>
              <w:left w:w="90" w:type="dxa"/>
              <w:bottom w:w="60" w:type="dxa"/>
              <w:right w:w="90" w:type="dxa"/>
            </w:tcMar>
            <w:vAlign w:val="center"/>
          </w:tcPr>
          <w:p w14:paraId="76672D56">
            <w:pPr>
              <w:spacing w:line="276" w:lineRule="auto"/>
              <w:rPr>
                <w:rFonts w:hint="eastAsia" w:ascii="宋体" w:hAnsi="宋体" w:eastAsia="宋体"/>
                <w:szCs w:val="21"/>
              </w:rPr>
            </w:pPr>
            <w:r>
              <w:rPr>
                <w:rFonts w:ascii="宋体" w:hAnsi="宋体" w:eastAsia="宋体"/>
                <w:szCs w:val="21"/>
              </w:rPr>
              <w:t>“视听智作”教学资源库</w:t>
            </w:r>
          </w:p>
        </w:tc>
        <w:tc>
          <w:tcPr>
            <w:tcW w:w="5711" w:type="dxa"/>
            <w:tcBorders>
              <w:top w:val="single" w:color="808080" w:sz="4" w:space="0"/>
              <w:left w:val="single" w:color="808080" w:sz="4" w:space="0"/>
              <w:bottom w:val="single" w:color="808080" w:sz="4" w:space="0"/>
              <w:right w:val="single" w:color="808080" w:sz="4" w:space="0"/>
            </w:tcBorders>
            <w:tcMar>
              <w:top w:w="60" w:type="dxa"/>
              <w:left w:w="90" w:type="dxa"/>
              <w:bottom w:w="60" w:type="dxa"/>
              <w:right w:w="90" w:type="dxa"/>
            </w:tcMar>
            <w:vAlign w:val="center"/>
          </w:tcPr>
          <w:p w14:paraId="09CAE96B">
            <w:pPr>
              <w:spacing w:line="276" w:lineRule="auto"/>
              <w:rPr>
                <w:rFonts w:hint="eastAsia" w:ascii="宋体" w:hAnsi="宋体" w:eastAsia="宋体"/>
                <w:szCs w:val="21"/>
              </w:rPr>
            </w:pPr>
            <w:r>
              <w:rPr>
                <w:rFonts w:ascii="宋体" w:hAnsi="宋体" w:eastAsia="宋体"/>
                <w:szCs w:val="21"/>
              </w:rPr>
              <w:t>整合群内专业相关教学资源，汇总各项建设数据，包含课程视频及各类多模态资源，统计资源数量，便于师生获取并使用高质量教学资源。</w:t>
            </w:r>
          </w:p>
        </w:tc>
      </w:tr>
      <w:tr w14:paraId="20F8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41" w:type="dxa"/>
            <w:tcBorders>
              <w:top w:val="single" w:color="808080" w:sz="4" w:space="0"/>
              <w:left w:val="single" w:color="808080" w:sz="4" w:space="0"/>
              <w:bottom w:val="single" w:color="808080" w:sz="4" w:space="0"/>
              <w:right w:val="single" w:color="808080" w:sz="4" w:space="0"/>
            </w:tcBorders>
            <w:tcMar>
              <w:top w:w="60" w:type="dxa"/>
              <w:left w:w="90" w:type="dxa"/>
              <w:bottom w:w="60" w:type="dxa"/>
              <w:right w:w="90" w:type="dxa"/>
            </w:tcMar>
            <w:vAlign w:val="center"/>
          </w:tcPr>
          <w:p w14:paraId="20F503B0">
            <w:pPr>
              <w:spacing w:line="276" w:lineRule="auto"/>
              <w:jc w:val="center"/>
              <w:rPr>
                <w:rFonts w:hint="eastAsia" w:ascii="宋体" w:hAnsi="宋体" w:eastAsia="宋体"/>
                <w:szCs w:val="21"/>
              </w:rPr>
            </w:pPr>
            <w:r>
              <w:rPr>
                <w:rFonts w:ascii="宋体" w:hAnsi="宋体" w:eastAsia="宋体"/>
                <w:szCs w:val="21"/>
              </w:rPr>
              <w:t>4</w:t>
            </w:r>
          </w:p>
        </w:tc>
        <w:tc>
          <w:tcPr>
            <w:tcW w:w="2374" w:type="dxa"/>
            <w:tcBorders>
              <w:top w:val="single" w:color="808080" w:sz="4" w:space="0"/>
              <w:left w:val="single" w:color="808080" w:sz="4" w:space="0"/>
              <w:bottom w:val="single" w:color="808080" w:sz="4" w:space="0"/>
              <w:right w:val="single" w:color="808080" w:sz="4" w:space="0"/>
            </w:tcBorders>
            <w:tcMar>
              <w:top w:w="60" w:type="dxa"/>
              <w:left w:w="90" w:type="dxa"/>
              <w:bottom w:w="60" w:type="dxa"/>
              <w:right w:w="90" w:type="dxa"/>
            </w:tcMar>
            <w:vAlign w:val="center"/>
          </w:tcPr>
          <w:p w14:paraId="2D015276">
            <w:pPr>
              <w:spacing w:line="276" w:lineRule="auto"/>
              <w:rPr>
                <w:rFonts w:hint="eastAsia" w:ascii="宋体" w:hAnsi="宋体" w:eastAsia="宋体"/>
                <w:szCs w:val="21"/>
              </w:rPr>
            </w:pPr>
            <w:r>
              <w:rPr>
                <w:rFonts w:ascii="宋体" w:hAnsi="宋体" w:eastAsia="宋体"/>
                <w:szCs w:val="21"/>
              </w:rPr>
              <w:t>大视听职教数据中心</w:t>
            </w:r>
          </w:p>
        </w:tc>
        <w:tc>
          <w:tcPr>
            <w:tcW w:w="5711" w:type="dxa"/>
            <w:tcBorders>
              <w:top w:val="single" w:color="808080" w:sz="4" w:space="0"/>
              <w:left w:val="single" w:color="808080" w:sz="4" w:space="0"/>
              <w:bottom w:val="single" w:color="808080" w:sz="4" w:space="0"/>
              <w:right w:val="single" w:color="808080" w:sz="4" w:space="0"/>
            </w:tcBorders>
            <w:tcMar>
              <w:top w:w="60" w:type="dxa"/>
              <w:left w:w="90" w:type="dxa"/>
              <w:bottom w:w="60" w:type="dxa"/>
              <w:right w:w="90" w:type="dxa"/>
            </w:tcMar>
            <w:vAlign w:val="center"/>
          </w:tcPr>
          <w:p w14:paraId="0554F519">
            <w:pPr>
              <w:spacing w:line="276" w:lineRule="auto"/>
              <w:rPr>
                <w:rFonts w:hint="eastAsia" w:ascii="宋体" w:hAnsi="宋体" w:eastAsia="宋体"/>
                <w:szCs w:val="21"/>
              </w:rPr>
            </w:pPr>
            <w:r>
              <w:rPr>
                <w:rFonts w:ascii="宋体" w:hAnsi="宋体" w:eastAsia="宋体"/>
                <w:szCs w:val="21"/>
              </w:rPr>
              <w:t>开展专业群全产业链分析及大视听产业相关高职专业数据分析，结合国家政策、产业报告及杭州市—浙江省—长三角地区产业与头部企业发展情况进行数据分析，形成行业岗位能力图谱，提出就业导向的专业培养与课程体系优化建议。</w:t>
            </w:r>
          </w:p>
        </w:tc>
      </w:tr>
    </w:tbl>
    <w:p w14:paraId="53D0B7AA">
      <w:pPr>
        <w:pStyle w:val="2"/>
        <w:numPr>
          <w:ilvl w:val="0"/>
          <w:numId w:val="1"/>
        </w:numPr>
        <w:spacing w:line="276" w:lineRule="auto"/>
        <w:rPr>
          <w:rFonts w:eastAsia="宋体"/>
          <w:sz w:val="21"/>
          <w:szCs w:val="21"/>
        </w:rPr>
      </w:pPr>
      <w:r>
        <w:rPr>
          <w:rFonts w:eastAsia="宋体"/>
          <w:sz w:val="21"/>
          <w:szCs w:val="21"/>
        </w:rPr>
        <w:t>专业群中心门户平台</w:t>
      </w:r>
    </w:p>
    <w:p w14:paraId="3EE12241">
      <w:pPr>
        <w:pStyle w:val="4"/>
        <w:widowControl/>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系统首页以可视化方式呈现专业群建设全貌，汇聚建设简介、成果概况及核心数据指标，形成专业群建设的总览窗口。主页将展示专业群下</w:t>
      </w:r>
      <w:r>
        <w:rPr>
          <w:rFonts w:hint="eastAsia" w:ascii="宋体" w:hAnsi="宋体" w:eastAsia="宋体" w:cs="华文宋体"/>
          <w:color w:val="000000"/>
          <w:sz w:val="21"/>
          <w:szCs w:val="21"/>
        </w:rPr>
        <w:t>四个</w:t>
      </w:r>
      <w:r>
        <w:rPr>
          <w:rFonts w:ascii="宋体" w:hAnsi="宋体" w:eastAsia="宋体" w:cs="华文宋体"/>
          <w:color w:val="000000"/>
          <w:sz w:val="21"/>
          <w:szCs w:val="21"/>
        </w:rPr>
        <w:t>专业分入口，支持一键切换与跳转。每个专业均配置独立子门户</w:t>
      </w:r>
      <w:r>
        <w:rPr>
          <w:rFonts w:hint="eastAsia" w:ascii="宋体" w:hAnsi="宋体" w:eastAsia="宋体" w:cs="华文宋体"/>
          <w:color w:val="000000"/>
          <w:sz w:val="21"/>
          <w:szCs w:val="21"/>
        </w:rPr>
        <w:t>。</w:t>
      </w:r>
    </w:p>
    <w:p w14:paraId="239E1B72">
      <w:pPr>
        <w:pStyle w:val="4"/>
        <w:widowControl/>
        <w:numPr>
          <w:ilvl w:val="0"/>
          <w:numId w:val="2"/>
        </w:numPr>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专业群首页综合展示：支持专业群门户首页建设，集中展示专业群名称、专业数量、课程资源、知识点数量、访问统计等核心数据</w:t>
      </w:r>
      <w:r>
        <w:rPr>
          <w:rFonts w:hint="eastAsia" w:ascii="宋体" w:hAnsi="宋体" w:eastAsia="宋体" w:cs="华文宋体"/>
          <w:color w:val="000000"/>
          <w:sz w:val="21"/>
          <w:szCs w:val="21"/>
        </w:rPr>
        <w:t>。</w:t>
      </w:r>
    </w:p>
    <w:p w14:paraId="27E232D5">
      <w:pPr>
        <w:pStyle w:val="4"/>
        <w:widowControl/>
        <w:numPr>
          <w:ilvl w:val="0"/>
          <w:numId w:val="2"/>
        </w:numPr>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专业</w:t>
      </w:r>
      <w:r>
        <w:rPr>
          <w:rFonts w:hint="eastAsia" w:ascii="宋体" w:hAnsi="宋体" w:eastAsia="宋体" w:cs="华文宋体"/>
          <w:color w:val="000000"/>
          <w:sz w:val="21"/>
          <w:szCs w:val="21"/>
        </w:rPr>
        <w:t>群</w:t>
      </w:r>
      <w:r>
        <w:rPr>
          <w:rFonts w:ascii="宋体" w:hAnsi="宋体" w:eastAsia="宋体" w:cs="华文宋体"/>
          <w:color w:val="000000"/>
          <w:sz w:val="21"/>
          <w:szCs w:val="21"/>
        </w:rPr>
        <w:t>建设成果信息展示：支持</w:t>
      </w:r>
      <w:r>
        <w:rPr>
          <w:rFonts w:hint="eastAsia" w:ascii="宋体" w:hAnsi="宋体" w:eastAsia="宋体" w:cs="华文宋体"/>
          <w:color w:val="000000"/>
          <w:sz w:val="21"/>
          <w:szCs w:val="21"/>
        </w:rPr>
        <w:t>展示</w:t>
      </w:r>
      <w:r>
        <w:rPr>
          <w:rFonts w:ascii="宋体" w:hAnsi="宋体" w:eastAsia="宋体" w:cs="华文宋体"/>
          <w:color w:val="000000"/>
          <w:sz w:val="21"/>
          <w:szCs w:val="21"/>
        </w:rPr>
        <w:t>专业群简介及开设专业</w:t>
      </w:r>
      <w:r>
        <w:rPr>
          <w:rFonts w:hint="eastAsia" w:ascii="宋体" w:hAnsi="宋体" w:eastAsia="宋体" w:cs="华文宋体"/>
          <w:color w:val="000000"/>
          <w:sz w:val="21"/>
          <w:szCs w:val="21"/>
        </w:rPr>
        <w:t>，可一键跳转专业门户，</w:t>
      </w:r>
      <w:r>
        <w:rPr>
          <w:rFonts w:ascii="宋体" w:hAnsi="宋体" w:eastAsia="宋体" w:cs="华文宋体"/>
          <w:color w:val="000000"/>
          <w:sz w:val="21"/>
          <w:szCs w:val="21"/>
        </w:rPr>
        <w:t>查看</w:t>
      </w:r>
      <w:r>
        <w:rPr>
          <w:rFonts w:hint="eastAsia" w:ascii="宋体" w:hAnsi="宋体" w:eastAsia="宋体" w:cs="华文宋体"/>
          <w:color w:val="000000"/>
          <w:sz w:val="21"/>
          <w:szCs w:val="21"/>
        </w:rPr>
        <w:t>专</w:t>
      </w:r>
      <w:r>
        <w:rPr>
          <w:rFonts w:ascii="宋体" w:hAnsi="宋体" w:eastAsia="宋体" w:cs="华文宋体"/>
          <w:color w:val="000000"/>
          <w:sz w:val="21"/>
          <w:szCs w:val="21"/>
        </w:rPr>
        <w:t>业</w:t>
      </w:r>
      <w:r>
        <w:rPr>
          <w:rFonts w:hint="eastAsia" w:ascii="宋体" w:hAnsi="宋体" w:eastAsia="宋体" w:cs="华文宋体"/>
          <w:color w:val="000000"/>
          <w:sz w:val="21"/>
          <w:szCs w:val="21"/>
        </w:rPr>
        <w:t>建设内容及成果。</w:t>
      </w:r>
    </w:p>
    <w:p w14:paraId="73512A77">
      <w:pPr>
        <w:pStyle w:val="4"/>
        <w:widowControl/>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★3）专业组群逻辑与产业链全景展示：支持围绕</w:t>
      </w:r>
      <w:r>
        <w:rPr>
          <w:rFonts w:hint="eastAsia" w:ascii="宋体" w:hAnsi="宋体" w:eastAsia="宋体" w:cs="华文宋体"/>
          <w:color w:val="000000"/>
          <w:sz w:val="21"/>
          <w:szCs w:val="21"/>
        </w:rPr>
        <w:t>大视听产业的</w:t>
      </w:r>
      <w:r>
        <w:rPr>
          <w:rFonts w:ascii="宋体" w:hAnsi="宋体" w:eastAsia="宋体" w:cs="华文宋体"/>
          <w:color w:val="000000"/>
          <w:sz w:val="21"/>
          <w:szCs w:val="21"/>
        </w:rPr>
        <w:t>产业链、岗位链、专业链之间的关系进行可视化展示，呈现产业上游、中游、下游发展结构</w:t>
      </w:r>
      <w:r>
        <w:rPr>
          <w:rFonts w:hint="eastAsia" w:ascii="宋体" w:hAnsi="宋体" w:eastAsia="宋体" w:cs="华文宋体"/>
          <w:color w:val="000000"/>
          <w:sz w:val="21"/>
          <w:szCs w:val="21"/>
        </w:rPr>
        <w:t>，帮助</w:t>
      </w:r>
      <w:r>
        <w:rPr>
          <w:rFonts w:ascii="宋体" w:hAnsi="宋体" w:eastAsia="宋体" w:cs="华文宋体"/>
          <w:color w:val="000000"/>
          <w:sz w:val="21"/>
          <w:szCs w:val="21"/>
        </w:rPr>
        <w:t>清晰了解专业群与产业需求的匹配关系。</w:t>
      </w:r>
    </w:p>
    <w:p w14:paraId="2DD981B0">
      <w:pPr>
        <w:pStyle w:val="4"/>
        <w:widowControl/>
        <w:numPr>
          <w:ilvl w:val="0"/>
          <w:numId w:val="2"/>
        </w:numPr>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AI智能</w:t>
      </w:r>
      <w:r>
        <w:rPr>
          <w:rFonts w:hint="eastAsia" w:ascii="宋体" w:hAnsi="宋体" w:eastAsia="宋体" w:cs="华文宋体"/>
          <w:color w:val="000000"/>
          <w:sz w:val="21"/>
          <w:szCs w:val="21"/>
        </w:rPr>
        <w:t>助手</w:t>
      </w:r>
      <w:r>
        <w:rPr>
          <w:rFonts w:ascii="宋体" w:hAnsi="宋体" w:eastAsia="宋体" w:cs="华文宋体"/>
          <w:color w:val="000000"/>
          <w:sz w:val="21"/>
          <w:szCs w:val="21"/>
        </w:rPr>
        <w:t>接口：支持提供AI智能助手交互入口，支持用户围绕专业</w:t>
      </w:r>
      <w:r>
        <w:rPr>
          <w:rFonts w:hint="eastAsia" w:ascii="宋体" w:hAnsi="宋体" w:eastAsia="宋体" w:cs="华文宋体"/>
          <w:color w:val="000000"/>
          <w:sz w:val="21"/>
          <w:szCs w:val="21"/>
        </w:rPr>
        <w:t>及专业群</w:t>
      </w:r>
      <w:r>
        <w:rPr>
          <w:rFonts w:ascii="宋体" w:hAnsi="宋体" w:eastAsia="宋体" w:cs="华文宋体"/>
          <w:color w:val="000000"/>
          <w:sz w:val="21"/>
          <w:szCs w:val="21"/>
        </w:rPr>
        <w:t>进行智能问答与信息检索。</w:t>
      </w:r>
    </w:p>
    <w:p w14:paraId="625100AC">
      <w:pPr>
        <w:pStyle w:val="2"/>
        <w:numPr>
          <w:ilvl w:val="0"/>
          <w:numId w:val="1"/>
        </w:numPr>
        <w:spacing w:before="100" w:after="100" w:line="276" w:lineRule="auto"/>
        <w:rPr>
          <w:rFonts w:eastAsia="宋体"/>
          <w:sz w:val="21"/>
          <w:szCs w:val="21"/>
        </w:rPr>
      </w:pPr>
      <w:r>
        <w:rPr>
          <w:rFonts w:eastAsia="宋体"/>
          <w:sz w:val="21"/>
          <w:szCs w:val="21"/>
        </w:rPr>
        <w:t>群内专业门户平台</w:t>
      </w:r>
    </w:p>
    <w:p w14:paraId="3CBC3D30">
      <w:pPr>
        <w:pStyle w:val="3"/>
        <w:spacing w:line="276" w:lineRule="auto"/>
        <w:rPr>
          <w:rFonts w:hint="eastAsia" w:ascii="宋体" w:hAnsi="宋体" w:eastAsia="宋体"/>
          <w:sz w:val="21"/>
          <w:szCs w:val="21"/>
        </w:rPr>
      </w:pPr>
      <w:r>
        <w:rPr>
          <w:rFonts w:hint="eastAsia" w:ascii="宋体" w:hAnsi="宋体" w:eastAsia="宋体"/>
          <w:sz w:val="21"/>
          <w:szCs w:val="21"/>
        </w:rPr>
        <w:t>1.专业顶层展示</w:t>
      </w:r>
    </w:p>
    <w:p w14:paraId="3BB2E517">
      <w:pPr>
        <w:pStyle w:val="4"/>
        <w:widowControl/>
        <w:spacing w:beforeAutospacing="0" w:afterAutospacing="0" w:line="276" w:lineRule="auto"/>
        <w:ind w:firstLine="420"/>
        <w:rPr>
          <w:rFonts w:hint="eastAsia" w:ascii="宋体" w:hAnsi="宋体" w:eastAsia="宋体"/>
          <w:sz w:val="21"/>
          <w:szCs w:val="21"/>
        </w:rPr>
      </w:pPr>
      <w:r>
        <w:rPr>
          <w:rFonts w:ascii="宋体" w:hAnsi="宋体" w:eastAsia="宋体" w:cs="华文宋体"/>
          <w:color w:val="000000"/>
          <w:sz w:val="21"/>
          <w:szCs w:val="21"/>
        </w:rPr>
        <w:t>集中展示该专业的人才培养方案、课程体系及多维图谱建设成果，并支持页面个性化设计与动态展示，实现成果的直观化与互动化呈现。</w:t>
      </w:r>
    </w:p>
    <w:p w14:paraId="7AD1848E">
      <w:pPr>
        <w:pStyle w:val="4"/>
        <w:widowControl/>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1）支持图谱成果汇总展示：支持专业图谱全公开，为用户展示已建设的专业图谱概况，并通过后台发布设置，指定对应的用户/用户群浏览知识图谱详情内容。</w:t>
      </w:r>
    </w:p>
    <w:p w14:paraId="45D6AE19">
      <w:pPr>
        <w:pStyle w:val="4"/>
        <w:widowControl/>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2）专业基本信息展示：支持查看并管理专业简介、支持上传专业、团队、教材及课程建设成果。</w:t>
      </w:r>
    </w:p>
    <w:p w14:paraId="1F0C3AF5">
      <w:pPr>
        <w:pStyle w:val="4"/>
        <w:widowControl/>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3）支持专业门户访问数据统计：系统支持查看专业门户的每日访问数据、总访问数据、较上周增量的访问数据。</w:t>
      </w:r>
    </w:p>
    <w:p w14:paraId="65D76190">
      <w:pPr>
        <w:pStyle w:val="4"/>
        <w:widowControl/>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4）专业课程按学期轮播展示：将专业下全部课程，按照学期的维度，以课程卡片的形式轮播展示，均需显示课程名称、开课学院、课程分类、修读要求、学分等信息。选择学期后可快速定位到该学期下的课程。</w:t>
      </w:r>
    </w:p>
    <w:p w14:paraId="5AF793C1">
      <w:pPr>
        <w:pStyle w:val="4"/>
        <w:widowControl/>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5）专业培养方案展示：以直观的形式展示专业培养体系，从培养目标－毕业要求－指标点-课程体系－知识图谱维度进行展示，每个维度点击后，可以查看对应维度的建设成果。包含：培养目标数，毕业要求数，指标点数，课程数，知识点数等。</w:t>
      </w:r>
    </w:p>
    <w:p w14:paraId="1D120C3F">
      <w:pPr>
        <w:pStyle w:val="4"/>
        <w:widowControl/>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6）专业课程图谱展示：呈现专业下全部以建设知识图谱的课程卡片，每门图谱课程均统计知识点数，能力数，资源数</w:t>
      </w:r>
      <w:r>
        <w:rPr>
          <w:rFonts w:hint="eastAsia" w:ascii="宋体" w:hAnsi="宋体" w:eastAsia="宋体" w:cs="华文宋体"/>
          <w:color w:val="000000"/>
          <w:sz w:val="21"/>
          <w:szCs w:val="21"/>
        </w:rPr>
        <w:t>，</w:t>
      </w:r>
      <w:r>
        <w:rPr>
          <w:rFonts w:ascii="宋体" w:hAnsi="宋体" w:eastAsia="宋体" w:cs="华文宋体"/>
          <w:color w:val="000000"/>
          <w:sz w:val="21"/>
          <w:szCs w:val="21"/>
        </w:rPr>
        <w:t>点击后可进入课程知识图谱详情页。</w:t>
      </w:r>
    </w:p>
    <w:p w14:paraId="737328F5">
      <w:pPr>
        <w:pStyle w:val="4"/>
        <w:widowControl/>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7）支持统计图谱内的资源建设成果：支持统计本门课程知识图谱内建设的全部教学资源和试题资源。教学资源统计内容包含：资源总数、分类统计视频数、教材数、其他资源数。试题资源统计包含：试题总数，以图表形式分类统计不同题型的试题数。支持按课程维度查看资源建设的分布情况，包含视频资源、教材资源、其他文本类资源。</w:t>
      </w:r>
    </w:p>
    <w:p w14:paraId="32A2CBBD">
      <w:pPr>
        <w:pStyle w:val="4"/>
        <w:widowControl/>
        <w:spacing w:beforeAutospacing="0" w:afterAutospacing="0" w:line="276" w:lineRule="auto"/>
        <w:ind w:firstLine="420"/>
        <w:rPr>
          <w:rFonts w:hint="eastAsia" w:ascii="宋体" w:hAnsi="宋体" w:eastAsia="宋体"/>
          <w:sz w:val="21"/>
          <w:szCs w:val="21"/>
          <w:highlight w:val="yellow"/>
        </w:rPr>
      </w:pPr>
      <w:r>
        <w:rPr>
          <w:rFonts w:ascii="宋体" w:hAnsi="宋体" w:eastAsia="宋体" w:cs="华文宋体"/>
          <w:color w:val="000000"/>
          <w:sz w:val="21"/>
          <w:szCs w:val="21"/>
        </w:rPr>
        <w:t>8）支持专业数据统计汇总：汇总平台建设数据，并支持与国家平台进行对接。</w:t>
      </w:r>
    </w:p>
    <w:p w14:paraId="24CF557F">
      <w:pPr>
        <w:pStyle w:val="3"/>
        <w:spacing w:line="276" w:lineRule="auto"/>
        <w:rPr>
          <w:rFonts w:hint="eastAsia" w:ascii="宋体" w:hAnsi="宋体" w:eastAsia="宋体"/>
          <w:sz w:val="21"/>
          <w:szCs w:val="21"/>
        </w:rPr>
      </w:pPr>
      <w:r>
        <w:rPr>
          <w:rFonts w:hint="eastAsia" w:ascii="宋体" w:hAnsi="宋体" w:eastAsia="宋体"/>
          <w:sz w:val="21"/>
          <w:szCs w:val="21"/>
        </w:rPr>
        <w:t>2.专业人才培养方案路径可视化体系</w:t>
      </w:r>
    </w:p>
    <w:p w14:paraId="429FA6A6">
      <w:pPr>
        <w:pStyle w:val="4"/>
        <w:widowControl/>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1）人才培养方案结构化：建立可预览的专业人才培养模型，涵盖培养目标、毕业要求、课程体系、能力图谱、项目图谱、知识/技能图谱等内容，每个层面中包含当前专业建设在各个层面中的全部内容，并且通过专业图谱建设，各层级间产生关联。</w:t>
      </w:r>
    </w:p>
    <w:p w14:paraId="5CA56D91">
      <w:pPr>
        <w:pStyle w:val="4"/>
        <w:widowControl/>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2）模型矩阵生成快照：建立一键生成人才培养模型的快照，生成时支持随意选择模型视角，生成最佳快照内容，实现自动统计学生能力培养画像建设数据功能，数据包含：课程总数、能力图谱数量、项目图谱数量与知识技能点数量。</w:t>
      </w:r>
    </w:p>
    <w:p w14:paraId="22DE5F5B">
      <w:pPr>
        <w:pStyle w:val="4"/>
        <w:widowControl/>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3）模型预览快捷操作：实现用户通过工具栏对模型进行快捷操作功能，包括旋转角度、模型的形态体积等，并根据当前观看内容优先显示视觉距离最近内容，弱化较远的数据内容，协助用户更有针对性地进行预览。</w:t>
      </w:r>
    </w:p>
    <w:p w14:paraId="2DDC6D2D">
      <w:pPr>
        <w:pStyle w:val="4"/>
        <w:widowControl/>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4）模型内容关联路径：实现自动标记出有关联的路径功能，用户选择模型中任意内容后，系统会自动标记出有关联的六维路径，包含培养目标、毕业要求、课程板块及名称、关联能力、关联项目与关联知识技能点。实现专业群培养目标个性化定制功能。</w:t>
      </w:r>
    </w:p>
    <w:p w14:paraId="3136F28F">
      <w:pPr>
        <w:pStyle w:val="4"/>
        <w:widowControl/>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5）学生培养目标详情：建立学生培养目标详情展示功能，呈现培养目标简介、关联毕业要求及其状态数量、毕业要求细则、关联课程信息及学分统计，汇总课程中知识技能点、项目与能力等相关数据。</w:t>
      </w:r>
    </w:p>
    <w:p w14:paraId="4D56B237">
      <w:pPr>
        <w:pStyle w:val="4"/>
        <w:widowControl/>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6）毕业要求详情：建立毕业要求详情展示功能，展示毕业要求简介、关联支撑目标数量、课程与能力数量、项目关联情况及课程体系强弱关系，实现毕业要求与培养目标、课程体系间的可视化关联分析。</w:t>
      </w:r>
    </w:p>
    <w:p w14:paraId="377BE28D">
      <w:pPr>
        <w:pStyle w:val="4"/>
        <w:widowControl/>
        <w:spacing w:beforeAutospacing="0" w:afterAutospacing="0" w:line="276" w:lineRule="auto"/>
        <w:ind w:firstLine="420"/>
        <w:rPr>
          <w:rFonts w:hint="eastAsia" w:ascii="宋体" w:hAnsi="宋体" w:eastAsia="宋体"/>
          <w:sz w:val="21"/>
          <w:szCs w:val="21"/>
          <w:highlight w:val="yellow"/>
        </w:rPr>
      </w:pPr>
      <w:r>
        <w:rPr>
          <w:rFonts w:ascii="宋体" w:hAnsi="宋体" w:eastAsia="宋体" w:cs="华文宋体"/>
          <w:color w:val="000000"/>
          <w:sz w:val="21"/>
          <w:szCs w:val="21"/>
        </w:rPr>
        <w:t>7）支持构建专业支撑度分析中心：分析中心可总览当前专业培养方案中培养目标数量、毕业要求数量、课程数量，同时针对每条毕业要求与毕业要求指标点进行课程支撑数量统计，并且分析当前人才培养方案中关于专业必修课、专业选修课、专业基础课具体比重以及必学、选学、其他等三类课程的数量统计，同时呈现毕业要求对培养目标支撑矩阵、课程对毕业要求支撑矩阵、课程对毕业要求指标点支撑矩阵，其中课程对毕业要求支撑矩阵、课程对毕业要求指标点支撑矩阵支持通过筛选学期、课程类型与课程要求对矩阵进行重构与组合。</w:t>
      </w:r>
    </w:p>
    <w:p w14:paraId="6256469B">
      <w:pPr>
        <w:pStyle w:val="3"/>
        <w:spacing w:line="276" w:lineRule="auto"/>
        <w:rPr>
          <w:rFonts w:hint="eastAsia" w:ascii="宋体" w:hAnsi="宋体" w:eastAsia="宋体"/>
          <w:sz w:val="21"/>
          <w:szCs w:val="21"/>
        </w:rPr>
      </w:pPr>
      <w:r>
        <w:rPr>
          <w:rFonts w:hint="eastAsia" w:ascii="宋体" w:hAnsi="宋体" w:eastAsia="宋体"/>
          <w:sz w:val="21"/>
          <w:szCs w:val="21"/>
        </w:rPr>
        <w:t>3.专业课程支撑体系</w:t>
      </w:r>
    </w:p>
    <w:p w14:paraId="42965BD7">
      <w:pPr>
        <w:pStyle w:val="4"/>
        <w:widowControl/>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1）支持课程体系自定义：系统支持用户自行创建并管理课程体系，包含课程数量，课程学习时间，修完课程后所得学分，课程名称及该课程所含知识点数量。</w:t>
      </w:r>
    </w:p>
    <w:p w14:paraId="5DDC2D3B">
      <w:pPr>
        <w:pStyle w:val="4"/>
        <w:widowControl/>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2）支持两种课程添加方式：系统支持用户使用两种课程添加方式：一是支持选择用户有权限的课程；二是在专业下新建课程。</w:t>
      </w:r>
    </w:p>
    <w:p w14:paraId="3F6E8B74">
      <w:pPr>
        <w:pStyle w:val="4"/>
        <w:widowControl/>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3）支持课程拓扑图自定义系统：系统支持用户设置专业核心课程开课学期，构建课程与课程之间关系</w:t>
      </w:r>
      <w:r>
        <w:rPr>
          <w:rFonts w:hint="eastAsia" w:ascii="宋体" w:hAnsi="宋体" w:eastAsia="宋体" w:cs="华文宋体"/>
          <w:color w:val="000000"/>
          <w:sz w:val="21"/>
          <w:szCs w:val="21"/>
        </w:rPr>
        <w:t>，</w:t>
      </w:r>
      <w:r>
        <w:rPr>
          <w:rFonts w:ascii="宋体" w:hAnsi="宋体" w:eastAsia="宋体" w:cs="华文宋体"/>
          <w:color w:val="000000"/>
          <w:sz w:val="21"/>
          <w:szCs w:val="21"/>
        </w:rPr>
        <w:t>展示课程路径。</w:t>
      </w:r>
    </w:p>
    <w:p w14:paraId="0A6DE067">
      <w:pPr>
        <w:pStyle w:val="4"/>
        <w:widowControl/>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4）支持课程体系与毕业要求关联：系统支持专业下每门课程与毕业要求进行权重关联，可以设置中高低关联度，还能设置相关占比，最终能以可视化的图表形式展示。</w:t>
      </w:r>
    </w:p>
    <w:p w14:paraId="460F5B76">
      <w:pPr>
        <w:pStyle w:val="4"/>
        <w:widowControl/>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5）支持课程大家族展示：系统支持在一个全局的页面中展示专业群下全部课程，并且课程可以按照分类显示，如通识课、专业基础课、专业核心课等。还能进行学期筛选，展示课程的建设成果，如一流课程，思政示范课等。</w:t>
      </w:r>
    </w:p>
    <w:p w14:paraId="664A95AE">
      <w:pPr>
        <w:pStyle w:val="4"/>
        <w:widowControl/>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6）课程详情介绍：每门课均有详情页，可以展示课程基本信息，如课程背景、课程介绍、课程特色等。此外还能展示本课程的学习路径，了解其在专业培养体系下与其他课程的前后关系。</w:t>
      </w:r>
    </w:p>
    <w:p w14:paraId="2D8AEACE">
      <w:pPr>
        <w:pStyle w:val="4"/>
        <w:widowControl/>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7）课程目标设置：支持设置课程能力目标，课程能力目标包含课程目标描述、课程目标拆解、课程目标详情。其中智慧课程目标拆解课设置主能力目标、子能力目标、关联知识技能点、覆盖项目等，并通过系统统计每个能力目标的知识技能点覆盖率等。</w:t>
      </w:r>
    </w:p>
    <w:p w14:paraId="1B634C59">
      <w:pPr>
        <w:pStyle w:val="4"/>
        <w:widowControl/>
        <w:spacing w:beforeAutospacing="0" w:afterAutospacing="0" w:line="276" w:lineRule="auto"/>
        <w:ind w:firstLine="420"/>
        <w:rPr>
          <w:rFonts w:hint="eastAsia" w:ascii="宋体" w:hAnsi="宋体" w:eastAsia="宋体" w:cs="华文宋体"/>
          <w:color w:val="000000" w:themeColor="text1"/>
          <w:sz w:val="21"/>
          <w:szCs w:val="21"/>
          <w14:textFill>
            <w14:solidFill>
              <w14:schemeClr w14:val="tx1"/>
            </w14:solidFill>
          </w14:textFill>
        </w:rPr>
      </w:pPr>
      <w:r>
        <w:rPr>
          <w:rFonts w:ascii="宋体" w:hAnsi="宋体" w:eastAsia="宋体" w:cs="华文宋体"/>
          <w:color w:val="000000"/>
          <w:sz w:val="21"/>
          <w:szCs w:val="21"/>
        </w:rPr>
        <w:t>★8）课程学习推荐：支持对专业下的课程进行学习资源推荐，包含有知识图谱的课程，或者慕课，不限制平台，支持从国家智慧教育平台中推荐，每门课至少推荐2门可学习资源</w:t>
      </w:r>
      <w:r>
        <w:rPr>
          <w:rFonts w:ascii="宋体" w:hAnsi="宋体" w:eastAsia="宋体" w:cs="华文宋体"/>
          <w:color w:val="000000" w:themeColor="text1"/>
          <w:sz w:val="21"/>
          <w:szCs w:val="21"/>
          <w14:textFill>
            <w14:solidFill>
              <w14:schemeClr w14:val="tx1"/>
            </w14:solidFill>
          </w14:textFill>
        </w:rPr>
        <w:t>，同时支持手动增删课程。 除本地上传的资源外，知识/技能图谱资源建设平台应提供至少5000门课程资源。</w:t>
      </w:r>
    </w:p>
    <w:p w14:paraId="250381E3">
      <w:pPr>
        <w:pStyle w:val="3"/>
        <w:spacing w:line="276" w:lineRule="auto"/>
        <w:rPr>
          <w:rFonts w:hint="eastAsia" w:ascii="宋体" w:hAnsi="宋体" w:eastAsia="宋体"/>
          <w:sz w:val="21"/>
          <w:szCs w:val="21"/>
        </w:rPr>
      </w:pPr>
      <w:r>
        <w:rPr>
          <w:rFonts w:hint="eastAsia" w:ascii="宋体" w:hAnsi="宋体" w:eastAsia="宋体"/>
          <w:sz w:val="21"/>
          <w:szCs w:val="21"/>
        </w:rPr>
        <w:t>4.AI智能助手与应用中心</w:t>
      </w:r>
    </w:p>
    <w:p w14:paraId="3208AF13">
      <w:pPr>
        <w:pStyle w:val="4"/>
        <w:widowControl/>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集成AI</w:t>
      </w:r>
      <w:r>
        <w:rPr>
          <w:rFonts w:hint="eastAsia" w:ascii="宋体" w:hAnsi="宋体" w:eastAsia="宋体" w:cs="华文宋体"/>
          <w:color w:val="000000"/>
          <w:sz w:val="21"/>
          <w:szCs w:val="21"/>
        </w:rPr>
        <w:t>功能，包含智能体、指令和知识库管理。</w:t>
      </w:r>
    </w:p>
    <w:p w14:paraId="0724C27B">
      <w:pPr>
        <w:pStyle w:val="4"/>
        <w:widowControl/>
        <w:spacing w:beforeAutospacing="0" w:afterAutospacing="0" w:line="276" w:lineRule="auto"/>
        <w:ind w:firstLine="420"/>
        <w:rPr>
          <w:rFonts w:hint="eastAsia" w:ascii="宋体" w:hAnsi="宋体" w:eastAsia="宋体" w:cs="华文宋体"/>
          <w:color w:val="000000"/>
          <w:sz w:val="21"/>
          <w:szCs w:val="21"/>
        </w:rPr>
      </w:pPr>
      <w:r>
        <w:rPr>
          <w:rFonts w:hint="eastAsia" w:ascii="宋体" w:hAnsi="宋体" w:eastAsia="宋体" w:cs="华文宋体"/>
          <w:color w:val="000000"/>
          <w:sz w:val="21"/>
          <w:szCs w:val="21"/>
        </w:rPr>
        <w:t xml:space="preserve">1）交互式对话操作支持：支持用户于直观呈现的对话交互界面中，进行问题的输入以开展咨询活动。同时，支持运用Shift+Enter组合键实现换行操作，以此为输入长问题提供便利。设有专门的“发送”按钮用于提交问题，且预先设置常见问题快捷按钮，助力用户能够迅速发起咨询流程。 </w:t>
      </w:r>
    </w:p>
    <w:p w14:paraId="3990B328">
      <w:pPr>
        <w:pStyle w:val="4"/>
        <w:widowControl/>
        <w:spacing w:beforeAutospacing="0" w:afterAutospacing="0" w:line="276" w:lineRule="auto"/>
        <w:ind w:firstLine="420"/>
        <w:rPr>
          <w:rFonts w:hint="eastAsia" w:ascii="宋体" w:hAnsi="宋体" w:eastAsia="宋体" w:cs="华文宋体"/>
          <w:color w:val="000000"/>
          <w:sz w:val="21"/>
          <w:szCs w:val="21"/>
        </w:rPr>
      </w:pPr>
      <w:r>
        <w:rPr>
          <w:rFonts w:hint="eastAsia" w:ascii="宋体" w:hAnsi="宋体" w:eastAsia="宋体" w:cs="华文宋体"/>
          <w:color w:val="000000"/>
          <w:sz w:val="21"/>
          <w:szCs w:val="21"/>
        </w:rPr>
        <w:t xml:space="preserve">2）深度思考模式切换支持：支持用户对“深度思考”开关进行开启或关闭的操作。当该开关处于开启状态时，系统将调用更为复杂的算法或模型，进而为用户输出更为深入且全面的专业问题解答内容，充分满足用户对于专业知识深度探究的需求。 </w:t>
      </w:r>
    </w:p>
    <w:p w14:paraId="5F3E10A4">
      <w:pPr>
        <w:pStyle w:val="4"/>
        <w:widowControl/>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w:t>
      </w:r>
      <w:r>
        <w:rPr>
          <w:rFonts w:hint="eastAsia" w:ascii="宋体" w:hAnsi="宋体" w:eastAsia="宋体" w:cs="华文宋体"/>
          <w:color w:val="000000"/>
          <w:sz w:val="21"/>
          <w:szCs w:val="21"/>
        </w:rPr>
        <w:t xml:space="preserve">3）多智能体应用与创建支持：支持用户经由“AI专业智能体”入口进入到智能体管理界面。该界面涵盖多种专业智能体，分别针对学习、教学、实验等差异化场景提供专业性服务。此外，还支持用户创建新的智能体，以契合个性化的特定需求。 </w:t>
      </w:r>
    </w:p>
    <w:p w14:paraId="2ACCDCD0">
      <w:pPr>
        <w:pStyle w:val="4"/>
        <w:widowControl/>
        <w:spacing w:beforeAutospacing="0" w:afterAutospacing="0" w:line="276" w:lineRule="auto"/>
        <w:ind w:firstLine="420"/>
        <w:rPr>
          <w:rFonts w:hint="eastAsia" w:ascii="宋体" w:hAnsi="宋体" w:eastAsia="宋体" w:cs="华文宋体"/>
          <w:color w:val="000000"/>
          <w:sz w:val="21"/>
          <w:szCs w:val="21"/>
        </w:rPr>
      </w:pPr>
      <w:r>
        <w:rPr>
          <w:rFonts w:hint="eastAsia" w:ascii="宋体" w:hAnsi="宋体" w:eastAsia="宋体" w:cs="华文宋体"/>
          <w:color w:val="000000"/>
          <w:sz w:val="21"/>
          <w:szCs w:val="21"/>
        </w:rPr>
        <w:t xml:space="preserve">4）专业知识库资源管理与查看支持：支持用户通过“AI专业知识库”入口，对资源的概况信息进行查看，其中涵盖文件解析、专业数据、字符解析、图片提取、音视频时长等统计数据。支持按照专业总资源、专业课程资源、专业特色资源等类别进行分类查看，清晰展示不同类型文件资源的数量、大小以及更新时间等信息，并且可通过点击“查看”按钮，执行对应的管理操作。 </w:t>
      </w:r>
    </w:p>
    <w:p w14:paraId="5F6B82C2">
      <w:pPr>
        <w:pStyle w:val="4"/>
        <w:widowControl/>
        <w:spacing w:beforeAutospacing="0" w:afterAutospacing="0" w:line="276" w:lineRule="auto"/>
        <w:ind w:firstLine="420"/>
        <w:rPr>
          <w:rFonts w:hint="eastAsia" w:ascii="宋体" w:hAnsi="宋体" w:eastAsia="宋体" w:cs="华文宋体"/>
          <w:color w:val="000000"/>
          <w:sz w:val="21"/>
          <w:szCs w:val="21"/>
        </w:rPr>
      </w:pPr>
      <w:r>
        <w:rPr>
          <w:rFonts w:hint="eastAsia" w:ascii="宋体" w:hAnsi="宋体" w:eastAsia="宋体" w:cs="华文宋体"/>
          <w:color w:val="000000"/>
          <w:sz w:val="21"/>
          <w:szCs w:val="21"/>
        </w:rPr>
        <w:t xml:space="preserve">5）指令中心便捷提问支持：支持用户在指令中心，借助“全部”“内容学习”等分类标签，快速定位并找到预设指令进行提问操作。同时，支持用户通过“新建指令”功能来自定义问题，以此实现便捷获取专业解答的目的。 </w:t>
      </w:r>
    </w:p>
    <w:p w14:paraId="71731A0D">
      <w:pPr>
        <w:pStyle w:val="4"/>
        <w:widowControl/>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w:t>
      </w:r>
      <w:r>
        <w:rPr>
          <w:rFonts w:hint="eastAsia" w:ascii="宋体" w:hAnsi="宋体" w:eastAsia="宋体" w:cs="华文宋体"/>
          <w:color w:val="000000"/>
          <w:sz w:val="21"/>
          <w:szCs w:val="21"/>
        </w:rPr>
        <w:t xml:space="preserve">6）智能体分类查找与搜索支持：支持在AI专业智能体界面，依据“备课助手”“学习助手”等类别，对智能体进行分类展示，从而为用户按照自身需求进行查找提供便利。同时，支持搜索功能的使用，用户输入关键词即可快速定位目标智能体。 </w:t>
      </w:r>
    </w:p>
    <w:p w14:paraId="69AB1718">
      <w:pPr>
        <w:pStyle w:val="4"/>
        <w:widowControl/>
        <w:spacing w:beforeAutospacing="0" w:afterAutospacing="0" w:line="276" w:lineRule="auto"/>
        <w:ind w:firstLine="420"/>
        <w:rPr>
          <w:rFonts w:hint="eastAsia" w:ascii="宋体" w:hAnsi="宋体" w:eastAsia="宋体" w:cs="华文宋体"/>
          <w:color w:val="000000"/>
          <w:sz w:val="21"/>
          <w:szCs w:val="21"/>
        </w:rPr>
      </w:pPr>
      <w:r>
        <w:rPr>
          <w:rFonts w:hint="eastAsia" w:ascii="宋体" w:hAnsi="宋体" w:eastAsia="宋体" w:cs="华文宋体"/>
          <w:color w:val="000000"/>
          <w:sz w:val="21"/>
          <w:szCs w:val="21"/>
        </w:rPr>
        <w:t xml:space="preserve">7）多样化资源类型支持：支持AI专业知识库囊括视频、音频、图片、文档、PPT、教材书籍等多种格式的文件资源，全方位满足学习、教学、研究等不同应用场景下对于资源的多样化需求。 </w:t>
      </w:r>
    </w:p>
    <w:p w14:paraId="3E578F52">
      <w:pPr>
        <w:pStyle w:val="4"/>
        <w:widowControl/>
        <w:spacing w:beforeAutospacing="0" w:afterAutospacing="0" w:line="276" w:lineRule="auto"/>
        <w:ind w:firstLine="420"/>
        <w:rPr>
          <w:rFonts w:hint="eastAsia" w:ascii="宋体" w:hAnsi="宋体" w:eastAsia="宋体" w:cs="华文宋体"/>
          <w:color w:val="000000"/>
          <w:sz w:val="21"/>
          <w:szCs w:val="21"/>
        </w:rPr>
      </w:pPr>
      <w:r>
        <w:rPr>
          <w:rFonts w:hint="eastAsia" w:ascii="宋体" w:hAnsi="宋体" w:eastAsia="宋体" w:cs="华文宋体"/>
          <w:color w:val="000000"/>
          <w:sz w:val="21"/>
          <w:szCs w:val="21"/>
        </w:rPr>
        <w:t xml:space="preserve">8）个性化学习服务支持：支持通过不同功能定位的智能体以及丰富多元的知识库资源，为学生、教师、研究人员等不同身份的用户，提供具备个性化特征的学习支持服务，精准适配各自在学习、教学、研究等方面的需求。 </w:t>
      </w:r>
    </w:p>
    <w:p w14:paraId="0496C7B8">
      <w:pPr>
        <w:pStyle w:val="4"/>
        <w:widowControl/>
        <w:spacing w:beforeAutospacing="0" w:afterAutospacing="0" w:line="276" w:lineRule="auto"/>
        <w:ind w:firstLine="420"/>
        <w:rPr>
          <w:rFonts w:hint="eastAsia" w:ascii="宋体" w:hAnsi="宋体" w:eastAsia="宋体"/>
          <w:sz w:val="21"/>
          <w:szCs w:val="21"/>
          <w:highlight w:val="yellow"/>
        </w:rPr>
      </w:pPr>
      <w:r>
        <w:rPr>
          <w:rFonts w:hint="eastAsia" w:ascii="宋体" w:hAnsi="宋体" w:eastAsia="宋体" w:cs="华文宋体"/>
          <w:color w:val="000000"/>
          <w:sz w:val="21"/>
          <w:szCs w:val="21"/>
        </w:rPr>
        <w:t xml:space="preserve">9）便捷操作入口切换支持：支持用户通过界面顶部所设置的“新对话”“AI专业智能体”“AI专业知识库”等操作入口，快速实现操作场景的切换，进而开展对话咨询、智能体管理、知识库浏览等一系列操作。 </w:t>
      </w:r>
    </w:p>
    <w:p w14:paraId="6D91C854">
      <w:pPr>
        <w:pStyle w:val="2"/>
        <w:numPr>
          <w:ilvl w:val="0"/>
          <w:numId w:val="1"/>
        </w:numPr>
        <w:spacing w:line="276" w:lineRule="auto"/>
        <w:rPr>
          <w:rFonts w:eastAsia="宋体"/>
          <w:sz w:val="21"/>
          <w:szCs w:val="21"/>
        </w:rPr>
      </w:pPr>
      <w:r>
        <w:rPr>
          <w:rFonts w:eastAsia="宋体"/>
          <w:sz w:val="21"/>
          <w:szCs w:val="21"/>
        </w:rPr>
        <w:t>“视听智作”教学资源库</w:t>
      </w:r>
    </w:p>
    <w:p w14:paraId="429ED788">
      <w:pPr>
        <w:pStyle w:val="4"/>
        <w:widowControl/>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集约化存储教学资源，支持线上线下混合教学模式。</w:t>
      </w:r>
    </w:p>
    <w:p w14:paraId="3D31CAEC">
      <w:pPr>
        <w:pStyle w:val="4"/>
        <w:widowControl/>
        <w:spacing w:beforeAutospacing="0" w:afterAutospacing="0" w:line="276" w:lineRule="auto"/>
        <w:ind w:firstLine="420"/>
        <w:rPr>
          <w:rFonts w:hint="eastAsia" w:ascii="宋体" w:hAnsi="宋体" w:eastAsia="宋体" w:cs="华文宋体"/>
          <w:color w:val="000000"/>
          <w:sz w:val="21"/>
          <w:szCs w:val="21"/>
        </w:rPr>
      </w:pPr>
      <w:r>
        <w:rPr>
          <w:rFonts w:hint="eastAsia" w:ascii="宋体" w:hAnsi="宋体" w:eastAsia="宋体" w:cs="华文宋体"/>
          <w:color w:val="000000"/>
          <w:sz w:val="21"/>
          <w:szCs w:val="21"/>
        </w:rPr>
        <w:t>1）支持资源核心数据可视化与多维度分类管理：对资源数量、存储量及类型进行统计及可视化呈现，提供课程、知识主题等多维度筛选，实现资源精细组织与快速定位，提升管理效率。</w:t>
      </w:r>
    </w:p>
    <w:p w14:paraId="4A1A907D">
      <w:pPr>
        <w:pStyle w:val="4"/>
        <w:widowControl/>
        <w:spacing w:beforeAutospacing="0" w:afterAutospacing="0" w:line="276" w:lineRule="auto"/>
        <w:ind w:firstLine="420"/>
        <w:rPr>
          <w:rFonts w:hint="eastAsia" w:ascii="宋体" w:hAnsi="宋体" w:eastAsia="宋体" w:cs="华文宋体"/>
          <w:color w:val="000000"/>
          <w:sz w:val="21"/>
          <w:szCs w:val="21"/>
        </w:rPr>
      </w:pPr>
      <w:r>
        <w:rPr>
          <w:rFonts w:hint="eastAsia" w:ascii="宋体" w:hAnsi="宋体" w:eastAsia="宋体" w:cs="华文宋体"/>
          <w:color w:val="000000"/>
          <w:sz w:val="21"/>
          <w:szCs w:val="21"/>
        </w:rPr>
        <w:t>2）支持多类型教学资源展示与智能检索：涵盖课程视频、题库等多种媒体资源，标注关键信息，配备搜索及筛选功能，满足多样场景资源获取需求，增强资源利用便捷性。</w:t>
      </w:r>
    </w:p>
    <w:p w14:paraId="5CDDE207">
      <w:pPr>
        <w:pStyle w:val="4"/>
        <w:widowControl/>
        <w:spacing w:beforeAutospacing="0" w:afterAutospacing="0" w:line="276" w:lineRule="auto"/>
        <w:ind w:firstLine="420"/>
        <w:rPr>
          <w:rFonts w:hint="eastAsia" w:ascii="宋体" w:hAnsi="宋体" w:eastAsia="宋体" w:cs="华文宋体"/>
          <w:color w:val="000000"/>
          <w:sz w:val="21"/>
          <w:szCs w:val="21"/>
        </w:rPr>
      </w:pPr>
      <w:r>
        <w:rPr>
          <w:rFonts w:hint="eastAsia" w:ascii="宋体" w:hAnsi="宋体" w:eastAsia="宋体" w:cs="华文宋体"/>
          <w:color w:val="000000"/>
          <w:sz w:val="21"/>
          <w:szCs w:val="21"/>
        </w:rPr>
        <w:t>3）支持知识点与资源深度关联及体系构建：建立资源与知识的关联映射，按知识脉络分类管理资源，助力用户构建知识体系，实现资源与知识的协同学习。</w:t>
      </w:r>
    </w:p>
    <w:p w14:paraId="0C2C7059">
      <w:pPr>
        <w:pStyle w:val="4"/>
        <w:widowControl/>
        <w:spacing w:beforeAutospacing="0" w:afterAutospacing="0" w:line="276" w:lineRule="auto"/>
        <w:ind w:firstLine="420"/>
        <w:rPr>
          <w:rFonts w:hint="eastAsia" w:ascii="宋体" w:hAnsi="宋体" w:eastAsia="宋体" w:cs="华文宋体"/>
          <w:color w:val="000000"/>
          <w:sz w:val="21"/>
          <w:szCs w:val="21"/>
        </w:rPr>
      </w:pPr>
      <w:r>
        <w:rPr>
          <w:rFonts w:hint="eastAsia" w:ascii="宋体" w:hAnsi="宋体" w:eastAsia="宋体" w:cs="华文宋体"/>
          <w:color w:val="000000"/>
          <w:sz w:val="21"/>
          <w:szCs w:val="21"/>
        </w:rPr>
        <w:t>4）支持试题资源规范化管理与题型化展示：对试题分类标注，提供题型筛选功能，提升试题库管理规范性与教学应用效率，适配测评场景。</w:t>
      </w:r>
    </w:p>
    <w:p w14:paraId="7FECA7C3">
      <w:pPr>
        <w:pStyle w:val="4"/>
        <w:widowControl/>
        <w:spacing w:beforeAutospacing="0" w:afterAutospacing="0" w:line="360" w:lineRule="auto"/>
        <w:ind w:firstLine="420"/>
        <w:rPr>
          <w:rFonts w:hint="eastAsia" w:ascii="宋体" w:hAnsi="宋体" w:eastAsia="宋体" w:cs="华文宋体"/>
          <w:color w:val="000000"/>
          <w:sz w:val="21"/>
          <w:szCs w:val="21"/>
        </w:rPr>
      </w:pPr>
      <w:r>
        <w:rPr>
          <w:rFonts w:hint="eastAsia" w:ascii="宋体" w:hAnsi="宋体" w:eastAsia="宋体" w:cs="华文宋体"/>
          <w:color w:val="000000"/>
          <w:sz w:val="21"/>
          <w:szCs w:val="21"/>
        </w:rPr>
        <w:t>5）支持个性化学习资源智能推荐：基于用户行为数据，动态推送匹配资源，实现个性化内容获取，增强学习针对性与资源利用有效性，适配不同项目学习场景。</w:t>
      </w:r>
    </w:p>
    <w:p w14:paraId="030A27D7">
      <w:pPr>
        <w:adjustRightInd w:val="0"/>
        <w:snapToGrid w:val="0"/>
        <w:spacing w:line="360" w:lineRule="auto"/>
        <w:ind w:firstLine="420" w:firstLineChars="200"/>
        <w:rPr>
          <w:rFonts w:hint="eastAsia" w:ascii="宋体" w:hAnsi="宋体" w:eastAsia="宋体" w:cs="华文宋体"/>
          <w:color w:val="000000"/>
          <w:kern w:val="0"/>
          <w:szCs w:val="21"/>
        </w:rPr>
      </w:pPr>
      <w:r>
        <w:rPr>
          <w:rFonts w:hint="eastAsia" w:ascii="宋体" w:hAnsi="宋体" w:eastAsia="宋体" w:cs="华文宋体"/>
          <w:color w:val="000000"/>
          <w:szCs w:val="21"/>
        </w:rPr>
        <w:t>6）</w:t>
      </w:r>
      <w:r>
        <w:rPr>
          <w:rFonts w:hint="eastAsia" w:ascii="宋体" w:hAnsi="宋体" w:eastAsia="宋体" w:cs="华文宋体"/>
          <w:color w:val="000000"/>
          <w:kern w:val="0"/>
          <w:szCs w:val="21"/>
        </w:rPr>
        <w:t>供应商提</w:t>
      </w:r>
      <w:r>
        <w:rPr>
          <w:rFonts w:hint="eastAsia" w:ascii="宋体" w:hAnsi="宋体" w:eastAsia="宋体" w:cs="华文宋体"/>
          <w:color w:val="000000" w:themeColor="text1"/>
          <w:kern w:val="0"/>
          <w:szCs w:val="21"/>
          <w14:textFill>
            <w14:solidFill>
              <w14:schemeClr w14:val="tx1"/>
            </w14:solidFill>
          </w14:textFill>
        </w:rPr>
        <w:t>供5</w:t>
      </w:r>
      <w:r>
        <w:rPr>
          <w:rFonts w:ascii="宋体" w:hAnsi="宋体" w:eastAsia="宋体" w:cs="华文宋体"/>
          <w:color w:val="000000" w:themeColor="text1"/>
          <w:kern w:val="0"/>
          <w:szCs w:val="21"/>
          <w14:textFill>
            <w14:solidFill>
              <w14:schemeClr w14:val="tx1"/>
            </w14:solidFill>
          </w14:textFill>
        </w:rPr>
        <w:t>0</w:t>
      </w:r>
      <w:r>
        <w:rPr>
          <w:rFonts w:hint="eastAsia" w:ascii="宋体" w:hAnsi="宋体" w:eastAsia="宋体" w:cs="华文宋体"/>
          <w:color w:val="000000" w:themeColor="text1"/>
          <w:kern w:val="0"/>
          <w:szCs w:val="21"/>
          <w14:textFill>
            <w14:solidFill>
              <w14:schemeClr w14:val="tx1"/>
            </w14:solidFill>
          </w14:textFill>
        </w:rPr>
        <w:t>0门以上</w:t>
      </w:r>
      <w:r>
        <w:rPr>
          <w:rFonts w:hint="eastAsia" w:ascii="宋体" w:hAnsi="宋体" w:eastAsia="宋体" w:cs="华文宋体"/>
          <w:color w:val="000000"/>
          <w:kern w:val="0"/>
          <w:szCs w:val="21"/>
        </w:rPr>
        <w:t>的已认定的国家级精品在线开放课程资源，辅助教师打造校本混合式金课，建课团队成员可引用国家级精品在线开放课程部分内容和章节用于校内教学，结合课程自身特色做校内教学创新，大力推动优质课的校内应用。内容需全面覆盖思政类、创新创业类、人文素养类等课程领域，合理丰富教学团队已有的课程教学体系。</w:t>
      </w:r>
    </w:p>
    <w:p w14:paraId="266C01C4">
      <w:pPr>
        <w:pStyle w:val="7"/>
        <w:tabs>
          <w:tab w:val="left" w:pos="312"/>
        </w:tabs>
        <w:ind w:right="0" w:firstLine="420" w:firstLineChars="200"/>
        <w:rPr>
          <w:rFonts w:hint="eastAsia" w:ascii="宋体" w:hAnsi="宋体" w:eastAsia="宋体" w:cs="华文宋体"/>
          <w:color w:val="000000"/>
          <w:szCs w:val="21"/>
          <w:lang w:val="en-US" w:bidi="ar-SA"/>
        </w:rPr>
      </w:pPr>
      <w:r>
        <w:rPr>
          <w:rFonts w:hint="eastAsia" w:ascii="宋体" w:hAnsi="宋体" w:eastAsia="宋体" w:cs="华文宋体"/>
          <w:color w:val="000000"/>
          <w:szCs w:val="21"/>
        </w:rPr>
        <w:t>7）</w:t>
      </w:r>
      <w:r>
        <w:rPr>
          <w:rFonts w:hint="eastAsia" w:ascii="宋体" w:hAnsi="宋体" w:eastAsia="宋体" w:cs="华文宋体"/>
          <w:color w:val="000000"/>
          <w:szCs w:val="21"/>
          <w:lang w:val="en-US" w:bidi="ar-SA"/>
        </w:rPr>
        <w:t>供应商所提供的平台，可提供虚拟仿真实验课程，学生可免登录转至课程实验界面进行实验练习。为进一步丰富教学内容与学习场景，平台可以提供虚拟仿真实验课程供学校开展课程建设。依托虚拟仿真技术，可实现实验过程的可视化与交互化，弥补传统教学中实验条件受限、成本较高等问题，提升学生的实践操作能力与创新思维。</w:t>
      </w:r>
    </w:p>
    <w:p w14:paraId="12BECC04">
      <w:pPr>
        <w:pStyle w:val="7"/>
        <w:tabs>
          <w:tab w:val="left" w:pos="312"/>
        </w:tabs>
        <w:ind w:right="0" w:firstLine="420" w:firstLineChars="200"/>
        <w:rPr>
          <w:rFonts w:hint="eastAsia" w:ascii="宋体" w:hAnsi="宋体" w:eastAsia="宋体" w:cs="华文宋体"/>
          <w:color w:val="000000"/>
          <w:szCs w:val="21"/>
          <w:lang w:val="en-US" w:bidi="ar-SA"/>
        </w:rPr>
      </w:pPr>
      <w:r>
        <w:rPr>
          <w:rFonts w:hint="eastAsia" w:ascii="宋体" w:hAnsi="宋体" w:eastAsia="宋体" w:cs="华文宋体"/>
          <w:color w:val="000000"/>
          <w:szCs w:val="21"/>
        </w:rPr>
        <w:t>8）</w:t>
      </w:r>
      <w:r>
        <w:rPr>
          <w:rFonts w:ascii="宋体" w:hAnsi="宋体" w:eastAsia="宋体" w:cs="华文宋体"/>
          <w:color w:val="000000"/>
          <w:szCs w:val="21"/>
          <w:lang w:val="en-US" w:bidi="ar-SA"/>
        </w:rPr>
        <w:t>教育部于2025年正式启动了“双千计划”，旨在通过在全国范围内建设1000个“微专业”和1000个职业技能培训课程，提升高校学生的就业能力</w:t>
      </w:r>
      <w:r>
        <w:rPr>
          <w:rFonts w:hint="eastAsia" w:ascii="宋体" w:hAnsi="宋体" w:eastAsia="宋体" w:cs="华文宋体"/>
          <w:color w:val="000000"/>
          <w:szCs w:val="21"/>
          <w:lang w:val="en-US" w:bidi="ar-SA"/>
        </w:rPr>
        <w:t>，</w:t>
      </w:r>
      <w:r>
        <w:rPr>
          <w:rFonts w:ascii="宋体" w:hAnsi="宋体" w:eastAsia="宋体" w:cs="华文宋体"/>
          <w:color w:val="000000"/>
          <w:szCs w:val="21"/>
          <w:lang w:val="en-US" w:bidi="ar-SA"/>
        </w:rPr>
        <w:t>微专业提供的模块化、跨学科和市场导向的课程资源，不仅为</w:t>
      </w:r>
      <w:r>
        <w:rPr>
          <w:rFonts w:hint="eastAsia" w:ascii="宋体" w:hAnsi="宋体" w:eastAsia="宋体" w:cs="华文宋体"/>
          <w:color w:val="000000"/>
          <w:szCs w:val="21"/>
          <w:lang w:val="en-US" w:bidi="ar-SA"/>
        </w:rPr>
        <w:t>在线</w:t>
      </w:r>
      <w:r>
        <w:rPr>
          <w:rFonts w:ascii="宋体" w:hAnsi="宋体" w:eastAsia="宋体" w:cs="华文宋体"/>
          <w:color w:val="000000"/>
          <w:szCs w:val="21"/>
          <w:lang w:val="en-US" w:bidi="ar-SA"/>
        </w:rPr>
        <w:t>课程注入了高质量的教学内容，还推动了教学模式的创新，最终有效提升高校学生的职业技能和就业能力，为实现高质量就业目标提供了有力支撑。</w:t>
      </w:r>
      <w:r>
        <w:rPr>
          <w:rFonts w:hint="eastAsia" w:ascii="宋体" w:hAnsi="宋体" w:eastAsia="宋体" w:cs="华文宋体"/>
          <w:color w:val="000000"/>
          <w:szCs w:val="21"/>
          <w:lang w:val="en-US" w:bidi="ar-SA"/>
        </w:rPr>
        <w:t>为更好服务浙江艺术职业学院教育教学改革实际需求，投标人所提供的平台满足微专业全国运行，包括平台主页微专业模块、微专业招生简章等，并需提供给浙江艺术职业学院不少于50个微专业课程群供学习参考。</w:t>
      </w:r>
    </w:p>
    <w:p w14:paraId="0FE0B32B">
      <w:pPr>
        <w:pStyle w:val="2"/>
        <w:numPr>
          <w:ilvl w:val="0"/>
          <w:numId w:val="1"/>
        </w:numPr>
        <w:spacing w:before="100" w:after="100" w:line="276" w:lineRule="auto"/>
        <w:rPr>
          <w:rFonts w:eastAsia="宋体"/>
          <w:sz w:val="21"/>
          <w:szCs w:val="21"/>
        </w:rPr>
      </w:pPr>
      <w:r>
        <w:rPr>
          <w:rFonts w:eastAsia="宋体"/>
          <w:sz w:val="21"/>
          <w:szCs w:val="21"/>
        </w:rPr>
        <w:t>大视听职教数据中心</w:t>
      </w:r>
    </w:p>
    <w:p w14:paraId="40C1277C">
      <w:pPr>
        <w:pStyle w:val="3"/>
        <w:spacing w:line="276" w:lineRule="auto"/>
        <w:rPr>
          <w:rFonts w:hint="eastAsia" w:ascii="宋体" w:hAnsi="宋体" w:eastAsia="宋体"/>
          <w:sz w:val="21"/>
          <w:szCs w:val="21"/>
        </w:rPr>
      </w:pPr>
      <w:r>
        <w:rPr>
          <w:rFonts w:hint="eastAsia" w:ascii="宋体" w:hAnsi="宋体" w:eastAsia="宋体"/>
          <w:sz w:val="21"/>
          <w:szCs w:val="21"/>
        </w:rPr>
        <w:t>1.专业群情况分析</w:t>
      </w:r>
    </w:p>
    <w:p w14:paraId="346DC480">
      <w:pPr>
        <w:pStyle w:val="4"/>
        <w:widowControl/>
        <w:spacing w:beforeAutospacing="0" w:afterAutospacing="0" w:line="276" w:lineRule="auto"/>
        <w:ind w:firstLine="420"/>
        <w:rPr>
          <w:rFonts w:hint="eastAsia" w:ascii="宋体" w:hAnsi="宋体" w:eastAsia="宋体" w:cs="华文宋体"/>
          <w:color w:val="000000"/>
          <w:sz w:val="21"/>
          <w:szCs w:val="21"/>
        </w:rPr>
      </w:pPr>
      <w:r>
        <w:rPr>
          <w:rFonts w:hint="eastAsia" w:ascii="宋体" w:hAnsi="宋体" w:eastAsia="宋体" w:cs="华文宋体"/>
          <w:color w:val="000000"/>
          <w:sz w:val="21"/>
          <w:szCs w:val="21"/>
        </w:rPr>
        <w:t>1）</w:t>
      </w:r>
      <w:r>
        <w:rPr>
          <w:rFonts w:ascii="宋体" w:hAnsi="宋体" w:eastAsia="宋体" w:cs="华文宋体"/>
          <w:color w:val="000000"/>
          <w:sz w:val="21"/>
          <w:szCs w:val="21"/>
        </w:rPr>
        <w:t>支持专业</w:t>
      </w:r>
      <w:r>
        <w:rPr>
          <w:rFonts w:hint="eastAsia" w:ascii="宋体" w:hAnsi="宋体" w:eastAsia="宋体" w:cs="华文宋体"/>
          <w:color w:val="000000"/>
          <w:sz w:val="21"/>
          <w:szCs w:val="21"/>
        </w:rPr>
        <w:t>群情况</w:t>
      </w:r>
      <w:r>
        <w:rPr>
          <w:rFonts w:ascii="宋体" w:hAnsi="宋体" w:eastAsia="宋体" w:cs="华文宋体"/>
          <w:color w:val="000000"/>
          <w:sz w:val="21"/>
          <w:szCs w:val="21"/>
        </w:rPr>
        <w:t>多维度分析：可</w:t>
      </w:r>
      <w:r>
        <w:rPr>
          <w:rFonts w:hint="eastAsia" w:ascii="宋体" w:hAnsi="宋体" w:eastAsia="宋体" w:cs="华文宋体"/>
          <w:color w:val="000000"/>
          <w:sz w:val="21"/>
          <w:szCs w:val="21"/>
        </w:rPr>
        <w:t>根据</w:t>
      </w:r>
      <w:r>
        <w:rPr>
          <w:rFonts w:ascii="宋体" w:hAnsi="宋体" w:eastAsia="宋体" w:cs="华文宋体"/>
          <w:color w:val="000000"/>
          <w:sz w:val="21"/>
          <w:szCs w:val="21"/>
        </w:rPr>
        <w:t>学校及第三方</w:t>
      </w:r>
      <w:r>
        <w:rPr>
          <w:rFonts w:hint="eastAsia" w:ascii="宋体" w:hAnsi="宋体" w:eastAsia="宋体" w:cs="华文宋体"/>
          <w:color w:val="000000"/>
          <w:sz w:val="21"/>
          <w:szCs w:val="21"/>
        </w:rPr>
        <w:t>提供的</w:t>
      </w:r>
      <w:r>
        <w:rPr>
          <w:rFonts w:ascii="宋体" w:hAnsi="宋体" w:eastAsia="宋体" w:cs="华文宋体"/>
          <w:color w:val="000000"/>
          <w:sz w:val="21"/>
          <w:szCs w:val="21"/>
        </w:rPr>
        <w:t>数据，围绕师资、教学、科研、实践等核心维度开展专业综合画像分析，评估专业建设水平与发展现状。</w:t>
      </w:r>
    </w:p>
    <w:p w14:paraId="6F0BB0BA">
      <w:pPr>
        <w:pStyle w:val="4"/>
        <w:widowControl/>
        <w:spacing w:beforeAutospacing="0" w:afterAutospacing="0" w:line="276" w:lineRule="auto"/>
        <w:ind w:firstLine="420"/>
        <w:rPr>
          <w:rFonts w:hint="eastAsia" w:ascii="宋体" w:hAnsi="宋体" w:eastAsia="宋体" w:cs="华文宋体"/>
          <w:color w:val="000000"/>
          <w:sz w:val="21"/>
          <w:szCs w:val="21"/>
        </w:rPr>
      </w:pPr>
      <w:r>
        <w:rPr>
          <w:rFonts w:hint="eastAsia" w:ascii="宋体" w:hAnsi="宋体" w:eastAsia="宋体" w:cs="华文宋体"/>
          <w:color w:val="000000"/>
          <w:sz w:val="21"/>
          <w:szCs w:val="21"/>
        </w:rPr>
        <w:t>2）</w:t>
      </w:r>
      <w:r>
        <w:rPr>
          <w:rFonts w:ascii="宋体" w:hAnsi="宋体" w:eastAsia="宋体" w:cs="华文宋体"/>
          <w:color w:val="000000"/>
          <w:sz w:val="21"/>
          <w:szCs w:val="21"/>
        </w:rPr>
        <w:t>支持基于专业情况分析的建设优化建议生成：基于专业综合分析结果，输出</w:t>
      </w:r>
      <w:r>
        <w:rPr>
          <w:rFonts w:hint="eastAsia" w:ascii="宋体" w:hAnsi="宋体" w:eastAsia="宋体" w:cs="华文宋体"/>
          <w:color w:val="000000"/>
          <w:sz w:val="21"/>
          <w:szCs w:val="21"/>
        </w:rPr>
        <w:t>大视听产业</w:t>
      </w:r>
      <w:r>
        <w:rPr>
          <w:rFonts w:ascii="宋体" w:hAnsi="宋体" w:eastAsia="宋体" w:cs="华文宋体"/>
          <w:color w:val="000000"/>
          <w:sz w:val="21"/>
          <w:szCs w:val="21"/>
        </w:rPr>
        <w:t>就业导向的专业培养与课程体系优化建议，为专业动态调整与内涵建设提供数据支撑。</w:t>
      </w:r>
    </w:p>
    <w:p w14:paraId="3D584472">
      <w:pPr>
        <w:pStyle w:val="3"/>
        <w:spacing w:line="276" w:lineRule="auto"/>
        <w:rPr>
          <w:rFonts w:hint="eastAsia" w:ascii="宋体" w:hAnsi="宋体" w:eastAsia="宋体"/>
          <w:sz w:val="21"/>
          <w:szCs w:val="21"/>
        </w:rPr>
      </w:pPr>
      <w:r>
        <w:rPr>
          <w:rFonts w:hint="eastAsia" w:ascii="宋体" w:hAnsi="宋体" w:eastAsia="宋体"/>
          <w:sz w:val="21"/>
          <w:szCs w:val="21"/>
        </w:rPr>
        <w:t>2.专业群全产业链分析</w:t>
      </w:r>
    </w:p>
    <w:p w14:paraId="65EC3DF1">
      <w:pPr>
        <w:pStyle w:val="4"/>
        <w:widowControl/>
        <w:spacing w:beforeAutospacing="0" w:afterAutospacing="0" w:line="276" w:lineRule="auto"/>
        <w:ind w:firstLine="420"/>
        <w:rPr>
          <w:rFonts w:hint="eastAsia" w:ascii="宋体" w:hAnsi="宋体" w:eastAsia="宋体" w:cs="华文宋体"/>
          <w:color w:val="000000"/>
          <w:sz w:val="21"/>
          <w:szCs w:val="21"/>
        </w:rPr>
      </w:pPr>
      <w:r>
        <w:rPr>
          <w:rFonts w:hint="eastAsia" w:ascii="宋体" w:hAnsi="宋体" w:eastAsia="宋体" w:cs="华文宋体"/>
          <w:color w:val="000000"/>
          <w:sz w:val="21"/>
          <w:szCs w:val="21"/>
        </w:rPr>
        <w:t>1）</w:t>
      </w:r>
      <w:r>
        <w:rPr>
          <w:rFonts w:ascii="宋体" w:hAnsi="宋体" w:eastAsia="宋体" w:cs="华文宋体"/>
          <w:color w:val="000000"/>
          <w:sz w:val="21"/>
          <w:szCs w:val="21"/>
        </w:rPr>
        <w:t>支持</w:t>
      </w:r>
      <w:r>
        <w:rPr>
          <w:rFonts w:hint="eastAsia" w:ascii="宋体" w:hAnsi="宋体" w:eastAsia="宋体" w:cs="华文宋体"/>
          <w:color w:val="000000"/>
          <w:sz w:val="21"/>
          <w:szCs w:val="21"/>
        </w:rPr>
        <w:t>大视听</w:t>
      </w:r>
      <w:r>
        <w:rPr>
          <w:rFonts w:ascii="宋体" w:hAnsi="宋体" w:eastAsia="宋体" w:cs="华文宋体"/>
          <w:color w:val="000000"/>
          <w:sz w:val="21"/>
          <w:szCs w:val="21"/>
        </w:rPr>
        <w:t>产业链数据采集与分析：系统支持围绕大视听产业链上游内容创制、中游技术制作、下游传播应用等重点领域开展全景分析，</w:t>
      </w:r>
      <w:r>
        <w:rPr>
          <w:rFonts w:hint="eastAsia" w:ascii="宋体" w:hAnsi="宋体" w:eastAsia="宋体" w:cs="华文宋体"/>
          <w:color w:val="000000"/>
          <w:sz w:val="21"/>
          <w:szCs w:val="21"/>
        </w:rPr>
        <w:t>基于国家战略规划、产业报告及杭州市-浙江省-长三角地区的相关产业和头部企业的发展情况进行数据分析，为专业群建设提供产业发展依据。</w:t>
      </w:r>
    </w:p>
    <w:p w14:paraId="5A2C6EFD">
      <w:pPr>
        <w:pStyle w:val="4"/>
        <w:widowControl/>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w:t>
      </w:r>
      <w:r>
        <w:rPr>
          <w:rFonts w:hint="eastAsia" w:ascii="宋体" w:hAnsi="宋体" w:eastAsia="宋体" w:cs="华文宋体"/>
          <w:color w:val="000000"/>
          <w:sz w:val="21"/>
          <w:szCs w:val="21"/>
        </w:rPr>
        <w:t>2</w:t>
      </w:r>
      <w:r>
        <w:rPr>
          <w:rFonts w:ascii="宋体" w:hAnsi="宋体" w:eastAsia="宋体" w:cs="华文宋体"/>
          <w:color w:val="000000"/>
          <w:sz w:val="21"/>
          <w:szCs w:val="21"/>
        </w:rPr>
        <w:t>）支持大视听产业招聘需求数据库建设：支持基于主流招聘平台公开招聘信息，智能采集大视听产业相关企业、重点岗位、岗位要求、需求规模、薪资水平等数据，形成覆盖产业领域、岗位类别等维度的专业招聘需求数据库。</w:t>
      </w:r>
    </w:p>
    <w:p w14:paraId="58E1EA8A">
      <w:pPr>
        <w:pStyle w:val="4"/>
        <w:widowControl/>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3）支持AI智能岗位聚类与岗位群分析：支持利用AI语义识别、岗位信息聚类及人工校准等方式，对海量招聘岗位进行智能归类，形成影视制作、数字媒体、内容运营等典型岗位群。</w:t>
      </w:r>
    </w:p>
    <w:p w14:paraId="56A967D2">
      <w:pPr>
        <w:pStyle w:val="4"/>
        <w:widowControl/>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4）支持典型岗位画像与能力图谱构建：支持按照“知识—能力—素质”三维模型，对典型岗位的工作任务、核心技能、专业知识及职业素养进行拆解分析，形成大视听产业典型岗位画像及岗位能力图谱，实现产业岗位能力需求的结构化表达。</w:t>
      </w:r>
    </w:p>
    <w:p w14:paraId="30D0DB3A">
      <w:pPr>
        <w:pStyle w:val="4"/>
        <w:widowControl/>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5）支持专业人才培养匹配度智能分析：支持将产业岗位能力需求与学校专业培养目标、课程体系及人才培养方案进行智能比对，分析专业能力覆盖情况及能力缺口，为专业定位优化、培养方向调整及课程体系完善提供数据支撑。</w:t>
      </w:r>
    </w:p>
    <w:p w14:paraId="02232E97">
      <w:pPr>
        <w:pStyle w:val="4"/>
        <w:widowControl/>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★6）支持产业趋势研判与专业优化建议生成：支持基于产业</w:t>
      </w:r>
      <w:r>
        <w:rPr>
          <w:rFonts w:hint="eastAsia" w:ascii="宋体" w:hAnsi="宋体" w:eastAsia="宋体" w:cs="华文宋体"/>
          <w:color w:val="000000"/>
          <w:sz w:val="21"/>
          <w:szCs w:val="21"/>
        </w:rPr>
        <w:t>行业</w:t>
      </w:r>
      <w:r>
        <w:rPr>
          <w:rFonts w:ascii="宋体" w:hAnsi="宋体" w:eastAsia="宋体" w:cs="华文宋体"/>
          <w:color w:val="000000"/>
          <w:sz w:val="21"/>
          <w:szCs w:val="21"/>
        </w:rPr>
        <w:t>动态、岗位需求变化及人才市场数据，通过AI智能分析生成产业</w:t>
      </w:r>
      <w:r>
        <w:rPr>
          <w:rFonts w:hint="eastAsia" w:ascii="宋体" w:hAnsi="宋体" w:eastAsia="宋体" w:cs="华文宋体"/>
          <w:color w:val="000000"/>
          <w:sz w:val="21"/>
          <w:szCs w:val="21"/>
        </w:rPr>
        <w:t>行业概况分析</w:t>
      </w:r>
      <w:r>
        <w:rPr>
          <w:rFonts w:ascii="宋体" w:hAnsi="宋体" w:eastAsia="宋体" w:cs="华文宋体"/>
          <w:color w:val="000000"/>
          <w:sz w:val="21"/>
          <w:szCs w:val="21"/>
        </w:rPr>
        <w:t>、</w:t>
      </w:r>
      <w:r>
        <w:rPr>
          <w:rFonts w:hint="eastAsia" w:ascii="宋体" w:hAnsi="宋体" w:eastAsia="宋体" w:cs="华文宋体"/>
          <w:color w:val="000000"/>
          <w:sz w:val="21"/>
          <w:szCs w:val="21"/>
        </w:rPr>
        <w:t>专业群核心目标岗位群分析、专业能力需求分析及</w:t>
      </w:r>
      <w:r>
        <w:rPr>
          <w:rFonts w:ascii="宋体" w:hAnsi="宋体" w:eastAsia="宋体" w:cs="华文宋体"/>
          <w:color w:val="000000"/>
          <w:sz w:val="21"/>
          <w:szCs w:val="21"/>
        </w:rPr>
        <w:t>专业建设优化建议</w:t>
      </w:r>
      <w:r>
        <w:rPr>
          <w:rFonts w:hint="eastAsia" w:ascii="宋体" w:hAnsi="宋体" w:eastAsia="宋体" w:cs="华文宋体"/>
          <w:color w:val="000000"/>
          <w:sz w:val="21"/>
          <w:szCs w:val="21"/>
        </w:rPr>
        <w:t>；支持对优化建议进行溯源，确认优化依据，</w:t>
      </w:r>
      <w:r>
        <w:rPr>
          <w:rFonts w:ascii="宋体" w:hAnsi="宋体" w:eastAsia="宋体" w:cs="华文宋体"/>
          <w:color w:val="000000"/>
          <w:sz w:val="21"/>
          <w:szCs w:val="21"/>
        </w:rPr>
        <w:t>辅助学校动态调整专业布局与人才培养方向。</w:t>
      </w:r>
    </w:p>
    <w:p w14:paraId="14E98AF3">
      <w:pPr>
        <w:pStyle w:val="4"/>
        <w:widowControl/>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7）支持产业岗位需求可视化展示：支持</w:t>
      </w:r>
      <w:r>
        <w:rPr>
          <w:rFonts w:hint="eastAsia" w:ascii="宋体" w:hAnsi="宋体" w:eastAsia="宋体" w:cs="华文宋体"/>
          <w:color w:val="000000"/>
          <w:sz w:val="21"/>
          <w:szCs w:val="21"/>
        </w:rPr>
        <w:t>呈现</w:t>
      </w:r>
      <w:r>
        <w:rPr>
          <w:rFonts w:ascii="宋体" w:hAnsi="宋体" w:eastAsia="宋体" w:cs="华文宋体"/>
          <w:color w:val="000000"/>
          <w:sz w:val="21"/>
          <w:szCs w:val="21"/>
        </w:rPr>
        <w:t>产业</w:t>
      </w:r>
      <w:r>
        <w:rPr>
          <w:rFonts w:hint="eastAsia" w:ascii="宋体" w:hAnsi="宋体" w:eastAsia="宋体" w:cs="华文宋体"/>
          <w:color w:val="000000"/>
          <w:sz w:val="21"/>
          <w:szCs w:val="21"/>
        </w:rPr>
        <w:t>、重点领域、目标岗位群和核心能力的调研数据，动态展示新增招聘信息和核心优化建设的数量，</w:t>
      </w:r>
      <w:r>
        <w:rPr>
          <w:rFonts w:ascii="宋体" w:hAnsi="宋体" w:eastAsia="宋体" w:cs="华文宋体"/>
          <w:color w:val="000000"/>
          <w:sz w:val="21"/>
          <w:szCs w:val="21"/>
        </w:rPr>
        <w:t>帮助管理者直观掌握大视听产业人才需求变化及专业适配情况。</w:t>
      </w:r>
    </w:p>
    <w:p w14:paraId="048ADFBE">
      <w:pPr>
        <w:pStyle w:val="3"/>
        <w:spacing w:line="276" w:lineRule="auto"/>
        <w:rPr>
          <w:rFonts w:hint="eastAsia" w:ascii="宋体" w:hAnsi="宋体" w:eastAsia="宋体"/>
          <w:sz w:val="21"/>
          <w:szCs w:val="21"/>
        </w:rPr>
      </w:pPr>
      <w:r>
        <w:rPr>
          <w:rFonts w:hint="eastAsia" w:ascii="宋体" w:hAnsi="宋体" w:eastAsia="宋体"/>
          <w:sz w:val="21"/>
          <w:szCs w:val="21"/>
        </w:rPr>
        <w:t>3.大视听产业相关专业数据分析</w:t>
      </w:r>
    </w:p>
    <w:p w14:paraId="70396AD1">
      <w:pPr>
        <w:pStyle w:val="4"/>
        <w:widowControl/>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1）支持毕业生基本信息及发展数据统计分析：系统支持</w:t>
      </w:r>
      <w:r>
        <w:rPr>
          <w:rFonts w:hint="eastAsia" w:ascii="宋体" w:hAnsi="宋体" w:eastAsia="宋体" w:cs="华文宋体"/>
          <w:color w:val="000000"/>
          <w:sz w:val="21"/>
          <w:szCs w:val="21"/>
        </w:rPr>
        <w:t>导入毕业生相关数据，包含</w:t>
      </w:r>
      <w:r>
        <w:rPr>
          <w:rFonts w:ascii="宋体" w:hAnsi="宋体" w:eastAsia="宋体" w:cs="华文宋体"/>
          <w:color w:val="000000"/>
          <w:sz w:val="21"/>
          <w:szCs w:val="21"/>
        </w:rPr>
        <w:t>毕业年份、毕业去向、升学院校、就业单位、岗位类别、工作地区及薪资水平等</w:t>
      </w:r>
      <w:r>
        <w:rPr>
          <w:rFonts w:hint="eastAsia" w:ascii="宋体" w:hAnsi="宋体" w:eastAsia="宋体" w:cs="华文宋体"/>
          <w:color w:val="000000"/>
          <w:sz w:val="21"/>
          <w:szCs w:val="21"/>
        </w:rPr>
        <w:t>信息</w:t>
      </w:r>
      <w:r>
        <w:rPr>
          <w:rFonts w:ascii="宋体" w:hAnsi="宋体" w:eastAsia="宋体" w:cs="华文宋体"/>
          <w:color w:val="000000"/>
          <w:sz w:val="21"/>
          <w:szCs w:val="21"/>
        </w:rPr>
        <w:t>，形成毕业生发展基础数据库。</w:t>
      </w:r>
    </w:p>
    <w:p w14:paraId="0A363715">
      <w:pPr>
        <w:pStyle w:val="4"/>
        <w:widowControl/>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2）支持毕业生就业去向智能分类与趋势分析：系统支持通过 AI 聚类技术，对毕业生就业行业、单位类型、岗位方向进行智能归类，分析各就业方向人数占比、发展趋势及变化情况。</w:t>
      </w:r>
    </w:p>
    <w:p w14:paraId="666060B8">
      <w:pPr>
        <w:pStyle w:val="4"/>
        <w:widowControl/>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3）支持毕业生就业岗位能力画像分析：系统支持基于毕业生实际就业岗位，从知识、能力和素养三个维度自动提炼岗位能力要求，形成毕业生实际就业能力画像。</w:t>
      </w:r>
    </w:p>
    <w:p w14:paraId="026786A8">
      <w:pPr>
        <w:pStyle w:val="4"/>
        <w:widowControl/>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4）支持专业培养目标与学生就业结果匹配分析：系统支持分析毕业生就业方向与专业培养定位之间的匹配程度，识别人才培养</w:t>
      </w:r>
      <w:r>
        <w:rPr>
          <w:rFonts w:hint="eastAsia" w:ascii="宋体" w:hAnsi="宋体" w:eastAsia="宋体" w:cs="华文宋体"/>
          <w:color w:val="000000"/>
          <w:sz w:val="21"/>
          <w:szCs w:val="21"/>
        </w:rPr>
        <w:t>方案</w:t>
      </w:r>
      <w:r>
        <w:rPr>
          <w:rFonts w:ascii="宋体" w:hAnsi="宋体" w:eastAsia="宋体" w:cs="华文宋体"/>
          <w:color w:val="000000"/>
          <w:sz w:val="21"/>
          <w:szCs w:val="21"/>
        </w:rPr>
        <w:t>与学生实际发展之间的差异。</w:t>
      </w:r>
    </w:p>
    <w:p w14:paraId="3C845172">
      <w:pPr>
        <w:pStyle w:val="4"/>
        <w:widowControl/>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5）支持课程体系与就业能力关联诊断：系统支持结合毕业生岗位能力需求，分析现有课程体系对就业能力的支撑情况，识别课程内容与岗位能力之间的不足，并提出课程优化方向。</w:t>
      </w:r>
    </w:p>
    <w:p w14:paraId="4A7E0A19">
      <w:pPr>
        <w:pStyle w:val="4"/>
        <w:widowControl/>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6）支持学生就业调研结果可视化展示与智能分析：系统支持以图表形式展示</w:t>
      </w:r>
      <w:r>
        <w:rPr>
          <w:rFonts w:hint="eastAsia" w:ascii="宋体" w:hAnsi="宋体" w:eastAsia="宋体" w:cs="华文宋体"/>
          <w:color w:val="000000"/>
          <w:sz w:val="21"/>
          <w:szCs w:val="21"/>
        </w:rPr>
        <w:t>毕业去向</w:t>
      </w:r>
      <w:r>
        <w:rPr>
          <w:rFonts w:ascii="宋体" w:hAnsi="宋体" w:eastAsia="宋体" w:cs="华文宋体"/>
          <w:color w:val="000000"/>
          <w:sz w:val="21"/>
          <w:szCs w:val="21"/>
        </w:rPr>
        <w:t>分布、岗位类别</w:t>
      </w:r>
      <w:r>
        <w:rPr>
          <w:rFonts w:hint="eastAsia" w:ascii="宋体" w:hAnsi="宋体" w:eastAsia="宋体" w:cs="华文宋体"/>
          <w:color w:val="000000"/>
          <w:sz w:val="21"/>
          <w:szCs w:val="21"/>
        </w:rPr>
        <w:t>、</w:t>
      </w:r>
      <w:r>
        <w:rPr>
          <w:rFonts w:ascii="宋体" w:hAnsi="宋体" w:eastAsia="宋体" w:cs="华文宋体"/>
          <w:color w:val="000000"/>
          <w:sz w:val="21"/>
          <w:szCs w:val="21"/>
        </w:rPr>
        <w:t>地区流向等关键指标，并支持 AI 生成</w:t>
      </w:r>
      <w:r>
        <w:rPr>
          <w:rFonts w:hint="eastAsia" w:ascii="宋体" w:hAnsi="宋体" w:eastAsia="宋体" w:cs="华文宋体"/>
          <w:color w:val="000000"/>
          <w:sz w:val="21"/>
          <w:szCs w:val="21"/>
        </w:rPr>
        <w:t>、更新、下载</w:t>
      </w:r>
      <w:r>
        <w:rPr>
          <w:rFonts w:ascii="宋体" w:hAnsi="宋体" w:eastAsia="宋体" w:cs="华文宋体"/>
          <w:color w:val="000000"/>
          <w:sz w:val="21"/>
          <w:szCs w:val="21"/>
        </w:rPr>
        <w:t>就业调研分析结论及培养优化建议。</w:t>
      </w:r>
    </w:p>
    <w:p w14:paraId="3C8DE069">
      <w:pPr>
        <w:pStyle w:val="4"/>
        <w:widowControl/>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7）支持毕业生就业数据查询、筛选及导出：系统支持按照毕业年份</w:t>
      </w:r>
      <w:r>
        <w:rPr>
          <w:rFonts w:hint="eastAsia" w:ascii="宋体" w:hAnsi="宋体" w:eastAsia="宋体" w:cs="华文宋体"/>
          <w:color w:val="000000"/>
          <w:sz w:val="21"/>
          <w:szCs w:val="21"/>
        </w:rPr>
        <w:t>、学历</w:t>
      </w:r>
      <w:r>
        <w:rPr>
          <w:rFonts w:ascii="宋体" w:hAnsi="宋体" w:eastAsia="宋体" w:cs="华文宋体"/>
          <w:color w:val="000000"/>
          <w:sz w:val="21"/>
          <w:szCs w:val="21"/>
        </w:rPr>
        <w:t>、</w:t>
      </w:r>
      <w:r>
        <w:rPr>
          <w:rFonts w:hint="eastAsia" w:ascii="宋体" w:hAnsi="宋体" w:eastAsia="宋体" w:cs="华文宋体"/>
          <w:color w:val="000000"/>
          <w:sz w:val="21"/>
          <w:szCs w:val="21"/>
        </w:rPr>
        <w:t>毕业去向、所在地</w:t>
      </w:r>
      <w:r>
        <w:rPr>
          <w:rFonts w:ascii="宋体" w:hAnsi="宋体" w:eastAsia="宋体" w:cs="华文宋体"/>
          <w:color w:val="000000"/>
          <w:sz w:val="21"/>
          <w:szCs w:val="21"/>
        </w:rPr>
        <w:t>等条件进行多维度筛选，</w:t>
      </w:r>
      <w:r>
        <w:rPr>
          <w:rFonts w:hint="eastAsia" w:ascii="宋体" w:hAnsi="宋体" w:eastAsia="宋体" w:cs="华文宋体"/>
          <w:color w:val="000000"/>
          <w:sz w:val="21"/>
          <w:szCs w:val="21"/>
        </w:rPr>
        <w:t>支持关键词检索及导入导出操作</w:t>
      </w:r>
      <w:r>
        <w:rPr>
          <w:rFonts w:ascii="宋体" w:hAnsi="宋体" w:eastAsia="宋体" w:cs="华文宋体"/>
          <w:color w:val="000000"/>
          <w:sz w:val="21"/>
          <w:szCs w:val="21"/>
        </w:rPr>
        <w:t>。</w:t>
      </w:r>
    </w:p>
    <w:p w14:paraId="79B664A5">
      <w:pPr>
        <w:pStyle w:val="3"/>
        <w:spacing w:line="276" w:lineRule="auto"/>
        <w:rPr>
          <w:rFonts w:hint="eastAsia" w:ascii="宋体" w:hAnsi="宋体" w:eastAsia="宋体"/>
          <w:sz w:val="21"/>
          <w:szCs w:val="21"/>
        </w:rPr>
      </w:pPr>
      <w:r>
        <w:rPr>
          <w:rFonts w:hint="eastAsia" w:ascii="宋体" w:hAnsi="宋体" w:eastAsia="宋体"/>
          <w:sz w:val="21"/>
          <w:szCs w:val="21"/>
        </w:rPr>
        <w:t>4.专业内培养方案自诊分析</w:t>
      </w:r>
    </w:p>
    <w:p w14:paraId="0CAA8C9B">
      <w:pPr>
        <w:pStyle w:val="4"/>
        <w:widowControl/>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1）支持现行培养方案数字化解析与结构化展示：系统支持对培养方案文本进行智能解析，形成培养目标、毕业要求、课程体系、课程模块及教学活动等结构化数据。</w:t>
      </w:r>
    </w:p>
    <w:p w14:paraId="741C6496">
      <w:pPr>
        <w:pStyle w:val="4"/>
        <w:widowControl/>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2）支持培养目标合理性与外部需求匹配分析：系统支持结合行业企业、学生就业</w:t>
      </w:r>
      <w:r>
        <w:rPr>
          <w:rFonts w:hint="eastAsia" w:ascii="宋体" w:hAnsi="宋体" w:eastAsia="宋体" w:cs="华文宋体"/>
          <w:color w:val="000000"/>
          <w:sz w:val="21"/>
          <w:szCs w:val="21"/>
        </w:rPr>
        <w:t>等</w:t>
      </w:r>
      <w:r>
        <w:rPr>
          <w:rFonts w:ascii="宋体" w:hAnsi="宋体" w:eastAsia="宋体" w:cs="华文宋体"/>
          <w:color w:val="000000"/>
          <w:sz w:val="21"/>
          <w:szCs w:val="21"/>
        </w:rPr>
        <w:t>外部调研结果，对培养</w:t>
      </w:r>
      <w:r>
        <w:rPr>
          <w:rFonts w:hint="eastAsia" w:ascii="宋体" w:hAnsi="宋体" w:eastAsia="宋体" w:cs="华文宋体"/>
          <w:color w:val="000000"/>
          <w:sz w:val="21"/>
          <w:szCs w:val="21"/>
        </w:rPr>
        <w:t>方案和课程体系</w:t>
      </w:r>
      <w:r>
        <w:rPr>
          <w:rFonts w:ascii="宋体" w:hAnsi="宋体" w:eastAsia="宋体" w:cs="华文宋体"/>
          <w:color w:val="000000"/>
          <w:sz w:val="21"/>
          <w:szCs w:val="21"/>
        </w:rPr>
        <w:t>进行综合诊断。</w:t>
      </w:r>
    </w:p>
    <w:p w14:paraId="12115C0E">
      <w:pPr>
        <w:pStyle w:val="4"/>
        <w:widowControl/>
        <w:spacing w:beforeAutospacing="0" w:afterAutospacing="0" w:line="276" w:lineRule="auto"/>
        <w:ind w:firstLine="420"/>
        <w:rPr>
          <w:rFonts w:hint="eastAsia" w:ascii="宋体" w:hAnsi="宋体" w:eastAsia="宋体" w:cs="华文宋体"/>
          <w:color w:val="000000"/>
          <w:sz w:val="21"/>
          <w:szCs w:val="21"/>
        </w:rPr>
      </w:pPr>
      <w:r>
        <w:rPr>
          <w:rFonts w:hint="eastAsia" w:ascii="宋体" w:hAnsi="宋体" w:eastAsia="宋体" w:cs="华文宋体"/>
          <w:color w:val="000000"/>
          <w:sz w:val="21"/>
          <w:szCs w:val="21"/>
        </w:rPr>
        <w:t>3</w:t>
      </w:r>
      <w:r>
        <w:rPr>
          <w:rFonts w:ascii="宋体" w:hAnsi="宋体" w:eastAsia="宋体" w:cs="华文宋体"/>
          <w:color w:val="000000"/>
          <w:sz w:val="21"/>
          <w:szCs w:val="21"/>
        </w:rPr>
        <w:t>）支持课程体系结构与能力支撑关系分析：系统支持从课程类型、课程性质、课程学分学时分布及课程支撑关系等维度进行分析，评估课程体系</w:t>
      </w:r>
      <w:r>
        <w:rPr>
          <w:rFonts w:hint="eastAsia" w:ascii="宋体" w:hAnsi="宋体" w:eastAsia="宋体" w:cs="华文宋体"/>
          <w:color w:val="000000"/>
          <w:sz w:val="21"/>
          <w:szCs w:val="21"/>
        </w:rPr>
        <w:t>与</w:t>
      </w:r>
      <w:r>
        <w:rPr>
          <w:rFonts w:ascii="宋体" w:hAnsi="宋体" w:eastAsia="宋体" w:cs="华文宋体"/>
          <w:color w:val="000000"/>
          <w:sz w:val="21"/>
          <w:szCs w:val="21"/>
        </w:rPr>
        <w:t>培养目标及毕业要求的支撑效果。</w:t>
      </w:r>
    </w:p>
    <w:p w14:paraId="75D809E6">
      <w:pPr>
        <w:pStyle w:val="4"/>
        <w:widowControl/>
        <w:spacing w:beforeAutospacing="0" w:afterAutospacing="0" w:line="276" w:lineRule="auto"/>
        <w:ind w:firstLine="420"/>
        <w:rPr>
          <w:rFonts w:hint="eastAsia" w:ascii="宋体" w:hAnsi="宋体" w:eastAsia="宋体" w:cs="华文宋体"/>
          <w:color w:val="000000"/>
          <w:sz w:val="21"/>
          <w:szCs w:val="21"/>
        </w:rPr>
      </w:pPr>
      <w:r>
        <w:rPr>
          <w:rFonts w:hint="eastAsia" w:ascii="宋体" w:hAnsi="宋体" w:eastAsia="宋体" w:cs="华文宋体"/>
          <w:color w:val="000000"/>
          <w:sz w:val="21"/>
          <w:szCs w:val="21"/>
        </w:rPr>
        <w:t>4</w:t>
      </w:r>
      <w:r>
        <w:rPr>
          <w:rFonts w:ascii="宋体" w:hAnsi="宋体" w:eastAsia="宋体" w:cs="华文宋体"/>
          <w:color w:val="000000"/>
          <w:sz w:val="21"/>
          <w:szCs w:val="21"/>
        </w:rPr>
        <w:t>）支持AI智能识别培养方案核心问题并生成优化建议：系统支持围绕培养目标、毕业要求、课程体系及支撑矩阵进行综合诊断，自动形成问题清单、原因分析及优化调整建议。</w:t>
      </w:r>
    </w:p>
    <w:p w14:paraId="0C404AEB">
      <w:pPr>
        <w:pStyle w:val="4"/>
        <w:widowControl/>
        <w:spacing w:beforeAutospacing="0" w:afterAutospacing="0" w:line="276" w:lineRule="auto"/>
        <w:ind w:left="420"/>
        <w:rPr>
          <w:rFonts w:hint="eastAsia" w:ascii="宋体" w:hAnsi="宋体" w:eastAsia="宋体" w:cs="华文宋体"/>
          <w:color w:val="000000"/>
          <w:sz w:val="21"/>
          <w:szCs w:val="21"/>
        </w:rPr>
      </w:pPr>
      <w:r>
        <w:rPr>
          <w:rFonts w:ascii="宋体" w:hAnsi="宋体" w:eastAsia="宋体" w:cs="华文宋体"/>
          <w:color w:val="000000"/>
          <w:sz w:val="21"/>
          <w:szCs w:val="21"/>
        </w:rPr>
        <w:t>★</w:t>
      </w:r>
      <w:r>
        <w:rPr>
          <w:rFonts w:hint="eastAsia" w:ascii="宋体" w:hAnsi="宋体" w:eastAsia="宋体" w:cs="华文宋体"/>
          <w:color w:val="000000"/>
          <w:sz w:val="21"/>
          <w:szCs w:val="21"/>
        </w:rPr>
        <w:t>5）</w:t>
      </w:r>
      <w:r>
        <w:rPr>
          <w:rFonts w:ascii="宋体" w:hAnsi="宋体" w:eastAsia="宋体" w:cs="华文宋体"/>
          <w:color w:val="000000"/>
          <w:sz w:val="21"/>
          <w:szCs w:val="21"/>
        </w:rPr>
        <w:t>支持专业培养方案自诊结果报告生成：系统支持自动</w:t>
      </w:r>
      <w:r>
        <w:rPr>
          <w:rFonts w:hint="eastAsia" w:ascii="宋体" w:hAnsi="宋体" w:eastAsia="宋体" w:cs="华文宋体"/>
          <w:color w:val="000000"/>
          <w:sz w:val="21"/>
          <w:szCs w:val="21"/>
        </w:rPr>
        <w:t>生成并</w:t>
      </w:r>
      <w:r>
        <w:rPr>
          <w:rFonts w:ascii="宋体" w:hAnsi="宋体" w:eastAsia="宋体" w:cs="华文宋体"/>
          <w:color w:val="000000"/>
          <w:sz w:val="21"/>
          <w:szCs w:val="21"/>
        </w:rPr>
        <w:t>汇总</w:t>
      </w:r>
      <w:r>
        <w:rPr>
          <w:rFonts w:hint="eastAsia" w:ascii="宋体" w:hAnsi="宋体" w:eastAsia="宋体" w:cs="华文宋体"/>
          <w:color w:val="000000"/>
          <w:sz w:val="21"/>
          <w:szCs w:val="21"/>
        </w:rPr>
        <w:t>培养目标、毕业要求及课程体系的</w:t>
      </w:r>
      <w:r>
        <w:rPr>
          <w:rFonts w:ascii="宋体" w:hAnsi="宋体" w:eastAsia="宋体" w:cs="华文宋体"/>
          <w:color w:val="000000"/>
          <w:sz w:val="21"/>
          <w:szCs w:val="21"/>
        </w:rPr>
        <w:t>自诊报告，并支持</w:t>
      </w:r>
      <w:r>
        <w:rPr>
          <w:rFonts w:hint="eastAsia" w:ascii="宋体" w:hAnsi="宋体" w:eastAsia="宋体" w:cs="华文宋体"/>
          <w:color w:val="000000"/>
          <w:sz w:val="21"/>
          <w:szCs w:val="21"/>
        </w:rPr>
        <w:t>重新诊断</w:t>
      </w:r>
      <w:r>
        <w:rPr>
          <w:rFonts w:ascii="宋体" w:hAnsi="宋体" w:eastAsia="宋体" w:cs="华文宋体"/>
          <w:color w:val="000000"/>
          <w:sz w:val="21"/>
          <w:szCs w:val="21"/>
        </w:rPr>
        <w:t>。</w:t>
      </w:r>
    </w:p>
    <w:p w14:paraId="408B95E9">
      <w:pPr>
        <w:pStyle w:val="3"/>
        <w:spacing w:line="276" w:lineRule="auto"/>
        <w:rPr>
          <w:rFonts w:hint="eastAsia" w:ascii="宋体" w:hAnsi="宋体" w:eastAsia="宋体"/>
          <w:sz w:val="21"/>
          <w:szCs w:val="21"/>
        </w:rPr>
      </w:pPr>
      <w:r>
        <w:rPr>
          <w:rFonts w:hint="eastAsia" w:ascii="宋体" w:hAnsi="宋体" w:eastAsia="宋体"/>
          <w:sz w:val="21"/>
          <w:szCs w:val="21"/>
        </w:rPr>
        <w:t>5.培养方案历届版本及对比</w:t>
      </w:r>
    </w:p>
    <w:p w14:paraId="06C22262">
      <w:pPr>
        <w:pStyle w:val="4"/>
        <w:widowControl/>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1）支持历届培养方案版本统一归集与管理：系统支持对不同年份培养方案进行数字化存储，形成专业培养方案发展历史档案。</w:t>
      </w:r>
    </w:p>
    <w:p w14:paraId="43770F35">
      <w:pPr>
        <w:pStyle w:val="4"/>
        <w:widowControl/>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2）支持培养目标版本变化自动对比分析：系统支持对不同版本培养目标进行智能比对，识别目标调整内容、调整方向及变化趋势。</w:t>
      </w:r>
    </w:p>
    <w:p w14:paraId="3FD70776">
      <w:pPr>
        <w:pStyle w:val="4"/>
        <w:widowControl/>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3）支持毕业要求、课程体系及课程结构差异分析：系统支持自动比较不同版本毕业要求、课程模块、课程设置、学分学时及实践环节变化情况，并以可视化方式展示调整结果。</w:t>
      </w:r>
    </w:p>
    <w:p w14:paraId="091BB12C">
      <w:pPr>
        <w:pStyle w:val="4"/>
        <w:widowControl/>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4）支持课程优化情况追踪：系统支持分析历次培养方案修订中课程增加、减少、强化及弱化情况，并展示课程调整原因及影响范围。</w:t>
      </w:r>
    </w:p>
    <w:p w14:paraId="46C5E0BF">
      <w:pPr>
        <w:pStyle w:val="4"/>
        <w:widowControl/>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5）支持培养方案版本变化与外部需求关联分析：系统支持结合行业发展、就业变化</w:t>
      </w:r>
      <w:r>
        <w:rPr>
          <w:rFonts w:hint="eastAsia" w:ascii="宋体" w:hAnsi="宋体" w:eastAsia="宋体" w:cs="华文宋体"/>
          <w:color w:val="000000"/>
          <w:sz w:val="21"/>
          <w:szCs w:val="21"/>
        </w:rPr>
        <w:t>等数据</w:t>
      </w:r>
      <w:r>
        <w:rPr>
          <w:rFonts w:ascii="宋体" w:hAnsi="宋体" w:eastAsia="宋体" w:cs="华文宋体"/>
          <w:color w:val="000000"/>
          <w:sz w:val="21"/>
          <w:szCs w:val="21"/>
        </w:rPr>
        <w:t>，分析历届培养方案调整对外部需求变化的响应程度。</w:t>
      </w:r>
    </w:p>
    <w:p w14:paraId="56A51E35">
      <w:pPr>
        <w:pStyle w:val="3"/>
        <w:spacing w:line="276" w:lineRule="auto"/>
        <w:rPr>
          <w:rFonts w:hint="eastAsia" w:ascii="宋体" w:hAnsi="宋体" w:eastAsia="宋体"/>
          <w:sz w:val="21"/>
          <w:szCs w:val="21"/>
        </w:rPr>
      </w:pPr>
      <w:r>
        <w:rPr>
          <w:rFonts w:hint="eastAsia" w:ascii="宋体" w:hAnsi="宋体" w:eastAsia="宋体"/>
          <w:sz w:val="21"/>
          <w:szCs w:val="21"/>
        </w:rPr>
        <w:t>6.人才培养方案指导建议报告</w:t>
      </w:r>
    </w:p>
    <w:p w14:paraId="3A806904">
      <w:pPr>
        <w:pStyle w:val="4"/>
        <w:widowControl/>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1）支持多源调研数据融合与培养方案综合分析：系统支持融合</w:t>
      </w:r>
      <w:r>
        <w:rPr>
          <w:rFonts w:hint="eastAsia" w:ascii="宋体" w:hAnsi="宋体" w:eastAsia="宋体" w:cs="华文宋体"/>
          <w:color w:val="000000"/>
          <w:sz w:val="21"/>
          <w:szCs w:val="21"/>
        </w:rPr>
        <w:t>大视听</w:t>
      </w:r>
      <w:r>
        <w:rPr>
          <w:rFonts w:ascii="宋体" w:hAnsi="宋体" w:eastAsia="宋体" w:cs="华文宋体"/>
          <w:color w:val="000000"/>
          <w:sz w:val="21"/>
          <w:szCs w:val="21"/>
        </w:rPr>
        <w:t>行业调研、就业调研及内部培养方案诊断结果，形成专业综合分析基础。</w:t>
      </w:r>
    </w:p>
    <w:p w14:paraId="2CCBE52F">
      <w:pPr>
        <w:pStyle w:val="4"/>
        <w:widowControl/>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★2）支持“一专业一报告”的人才培养优化建议生成：系统支持针对不同专业生成专属人才培养方案指导建议报告，明确专业发展方向及培养体系优化路径。</w:t>
      </w:r>
    </w:p>
    <w:p w14:paraId="12249FE4">
      <w:pPr>
        <w:pStyle w:val="4"/>
        <w:widowControl/>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3）支持培养目标优化建议生成：系统支持结合外部人才需求、学校办学定位及专业发展方向，对培养目标的先进性、特色性及适应性提出调整建议。</w:t>
      </w:r>
    </w:p>
    <w:p w14:paraId="7AF208B4">
      <w:pPr>
        <w:pStyle w:val="4"/>
        <w:widowControl/>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★4）支持毕业要求及能力体系优化建议生成：系统支持分析毕业要求设置、能力培养路径及指标点支撑情况，提出毕业要求优化、能力补充及结构调整建议。</w:t>
      </w:r>
    </w:p>
    <w:p w14:paraId="5FF49C01">
      <w:pPr>
        <w:pStyle w:val="4"/>
        <w:widowControl/>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5）支持课程体系优化与课程调整建议生成：系统支持从课程结构、课程内容、课程前后衔接及实践教学体系等方面提出课程新增、优化、整合或调整建议。</w:t>
      </w:r>
    </w:p>
    <w:p w14:paraId="2A64DC4A">
      <w:pPr>
        <w:pStyle w:val="4"/>
        <w:widowControl/>
        <w:spacing w:beforeAutospacing="0" w:afterAutospacing="0" w:line="276" w:lineRule="auto"/>
        <w:ind w:firstLine="420"/>
        <w:rPr>
          <w:rFonts w:hint="eastAsia" w:ascii="宋体" w:hAnsi="宋体" w:eastAsia="宋体" w:cs="华文宋体"/>
          <w:color w:val="000000"/>
          <w:sz w:val="21"/>
          <w:szCs w:val="21"/>
        </w:rPr>
      </w:pPr>
      <w:r>
        <w:rPr>
          <w:rFonts w:ascii="宋体" w:hAnsi="宋体" w:eastAsia="宋体" w:cs="华文宋体"/>
          <w:color w:val="000000"/>
          <w:sz w:val="21"/>
          <w:szCs w:val="21"/>
        </w:rPr>
        <w:t>6）支持 AI 自动生成培养方案优化总体报告：系统支持自动汇总现状分析、问题诊断、优化方向、调整内容、实施优先级及课程影响范围，形成完整的人才培养方案指导建议报告，并支持多轮智能优化调整。</w:t>
      </w:r>
    </w:p>
    <w:p w14:paraId="0DF9CC15">
      <w:pPr>
        <w:pStyle w:val="3"/>
        <w:spacing w:line="276" w:lineRule="auto"/>
        <w:rPr>
          <w:rFonts w:hint="eastAsia" w:ascii="宋体" w:hAnsi="宋体" w:eastAsia="宋体"/>
          <w:sz w:val="21"/>
          <w:szCs w:val="21"/>
        </w:rPr>
      </w:pPr>
      <w:r>
        <w:rPr>
          <w:rFonts w:hint="eastAsia" w:ascii="宋体" w:hAnsi="宋体" w:eastAsia="宋体"/>
          <w:sz w:val="21"/>
          <w:szCs w:val="21"/>
        </w:rPr>
        <w:t>7.本地化保障服务要求</w:t>
      </w:r>
    </w:p>
    <w:p w14:paraId="2906EB91">
      <w:pPr>
        <w:adjustRightInd w:val="0"/>
        <w:snapToGrid w:val="0"/>
        <w:spacing w:line="276" w:lineRule="auto"/>
        <w:ind w:firstLine="482"/>
        <w:rPr>
          <w:rFonts w:hint="eastAsia" w:ascii="宋体" w:hAnsi="宋体" w:eastAsia="宋体" w:cs="宋体"/>
          <w:szCs w:val="21"/>
        </w:rPr>
      </w:pPr>
      <w:r>
        <w:rPr>
          <w:rFonts w:hint="eastAsia" w:ascii="宋体" w:hAnsi="宋体" w:eastAsia="宋体" w:cs="宋体"/>
          <w:szCs w:val="21"/>
        </w:rPr>
        <w:t>7.1根据供应商在项目实施地售后服务机构配置情况进行横向比较，供应商在项目实施地能够提供稳定售后服务。</w:t>
      </w:r>
    </w:p>
    <w:p w14:paraId="062AC05E">
      <w:pPr>
        <w:rPr>
          <w:rFonts w:hint="default" w:eastAsia="宋体"/>
          <w:lang w:val="en-US" w:eastAsia="zh-CN"/>
        </w:rPr>
      </w:pPr>
      <w:r>
        <w:rPr>
          <w:rFonts w:hint="eastAsia" w:ascii="宋体" w:hAnsi="宋体" w:eastAsia="宋体" w:cs="宋体"/>
          <w:szCs w:val="21"/>
        </w:rPr>
        <w:t>7.2供应商须为本项目配备的团队人员不少于10人（包括项目负责人、项目团队人员等），应具有本科或以上学历，其中项目负责人和技术人员主修专业应包含软件开发与测试</w:t>
      </w:r>
      <w:r>
        <w:rPr>
          <w:rFonts w:hint="eastAsia" w:ascii="宋体" w:hAnsi="宋体" w:eastAsia="宋体" w:cs="宋体"/>
          <w:szCs w:val="21"/>
          <w:lang w:val="en-US" w:eastAsia="zh-CN"/>
        </w:rPr>
        <w:t>类、软件工程类或计算机科学与技术类。</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宋体-简">
    <w:altName w:val="宋体"/>
    <w:panose1 w:val="00000000000000000000"/>
    <w:charset w:val="86"/>
    <w:family w:val="auto"/>
    <w:pitch w:val="default"/>
    <w:sig w:usb0="00000000" w:usb1="00000000" w:usb2="00000000" w:usb3="00000000" w:csb0="0016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BBB4B1"/>
    <w:multiLevelType w:val="singleLevel"/>
    <w:tmpl w:val="31BBB4B1"/>
    <w:lvl w:ilvl="0" w:tentative="0">
      <w:start w:val="1"/>
      <w:numFmt w:val="decimal"/>
      <w:suff w:val="nothing"/>
      <w:lvlText w:val="%1）"/>
      <w:lvlJc w:val="left"/>
    </w:lvl>
  </w:abstractNum>
  <w:abstractNum w:abstractNumId="1">
    <w:nsid w:val="3BFCF04D"/>
    <w:multiLevelType w:val="multilevel"/>
    <w:tmpl w:val="3BFCF04D"/>
    <w:lvl w:ilvl="0" w:tentative="0">
      <w:start w:val="1"/>
      <w:numFmt w:val="chineseCounting"/>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666474"/>
    <w:rsid w:val="70666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widowControl/>
      <w:spacing w:beforeAutospacing="1" w:afterAutospacing="1"/>
      <w:jc w:val="left"/>
      <w:outlineLvl w:val="1"/>
    </w:pPr>
    <w:rPr>
      <w:rFonts w:hint="eastAsia" w:ascii="宋体" w:hAnsi="宋体" w:eastAsia="华文宋体" w:cs="Times New Roman"/>
      <w:b/>
      <w:bCs/>
      <w:kern w:val="0"/>
      <w:sz w:val="28"/>
      <w:szCs w:val="36"/>
    </w:rPr>
  </w:style>
  <w:style w:type="paragraph" w:styleId="3">
    <w:name w:val="heading 3"/>
    <w:basedOn w:val="1"/>
    <w:next w:val="1"/>
    <w:unhideWhenUsed/>
    <w:qFormat/>
    <w:uiPriority w:val="0"/>
    <w:pPr>
      <w:keepNext/>
      <w:keepLines/>
      <w:spacing w:before="260" w:after="260" w:line="413" w:lineRule="auto"/>
      <w:outlineLvl w:val="2"/>
    </w:pPr>
    <w:rPr>
      <w:b/>
      <w:sz w:val="2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spacing w:beforeAutospacing="1" w:afterAutospacing="1"/>
      <w:jc w:val="left"/>
    </w:pPr>
    <w:rPr>
      <w:rFonts w:cs="Times New Roman"/>
      <w:kern w:val="0"/>
      <w:sz w:val="24"/>
    </w:rPr>
  </w:style>
  <w:style w:type="paragraph" w:customStyle="1" w:styleId="7">
    <w:name w:val="DAS正文"/>
    <w:basedOn w:val="1"/>
    <w:qFormat/>
    <w:uiPriority w:val="0"/>
    <w:pPr>
      <w:autoSpaceDE w:val="0"/>
      <w:autoSpaceDN w:val="0"/>
      <w:spacing w:line="360" w:lineRule="auto"/>
      <w:ind w:right="181" w:firstLine="480"/>
    </w:pPr>
    <w:rPr>
      <w:rFonts w:ascii="Verdana" w:hAnsi="Verdana" w:eastAsia="宋体-简" w:cs="Times New Roman"/>
      <w:kern w:val="0"/>
      <w:lang w:val="zh-CN" w:bidi="zh-CN"/>
    </w:rPr>
  </w:style>
  <w:style w:type="paragraph" w:customStyle="1" w:styleId="8">
    <w:name w:val="Heading2"/>
    <w:basedOn w:val="1"/>
    <w:next w:val="1"/>
    <w:qFormat/>
    <w:uiPriority w:val="0"/>
    <w:pPr>
      <w:keepNext/>
      <w:keepLines/>
      <w:widowControl/>
      <w:spacing w:line="360" w:lineRule="auto"/>
      <w:jc w:val="left"/>
      <w:textAlignment w:val="baseline"/>
    </w:pPr>
    <w:rPr>
      <w:rFonts w:ascii="Calibri" w:hAnsi="Calibri" w:eastAsia="宋体" w:cs="Times New Roman"/>
      <w:b/>
      <w:bCs/>
      <w:color w:val="000000"/>
      <w:spacing w:val="-6"/>
      <w:kern w:val="0"/>
      <w:sz w:val="24"/>
      <w:szCs w:val="30"/>
    </w:rPr>
  </w:style>
  <w:style w:type="character" w:customStyle="1" w:styleId="9">
    <w:name w:val="NormalCharacter"/>
    <w:qFormat/>
    <w:uiPriority w:val="0"/>
  </w:style>
  <w:style w:type="paragraph" w:customStyle="1" w:styleId="10">
    <w:name w:val="Heading1"/>
    <w:basedOn w:val="1"/>
    <w:next w:val="1"/>
    <w:qFormat/>
    <w:uiPriority w:val="0"/>
    <w:pPr>
      <w:keepNext/>
      <w:keepLines/>
      <w:widowControl/>
      <w:spacing w:before="340" w:after="330" w:line="480" w:lineRule="auto"/>
      <w:jc w:val="center"/>
      <w:textAlignment w:val="baseline"/>
    </w:pPr>
    <w:rPr>
      <w:rFonts w:ascii="宋体" w:hAnsi="宋体" w:eastAsia="宋体" w:cs="Times New Roman"/>
      <w:b/>
      <w:color w:val="000000"/>
      <w:kern w:val="44"/>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2026-07-02T02:26:00Z</dcterms:created>
  <dc:creator>wqy</dc:creator>
  <cp:lastModifiedBy>wqy</cp:lastModifiedBy>
  <dcterms:modified xsi:type="dcterms:W3CDTF">2026-07-02T02:28:01Z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48D51EB7F07F4407B3002EC728A27300_11</vt:lpwstr>
  </property>
  <property fmtid="{D5CDD505-2E9C-101B-9397-08002B2CF9AE}" pid="4" name="KSOTemplateDocerSaveRecord">
    <vt:lpwstr>eyJoZGlkIjoiZTk3MmU5NGVjZGYzY2I3MWI5ZmNhNTNiMGM4MGUzZjciLCJ1c2VySWQiOiI1Nzc3NDMyMDkifQ==</vt:lpwstr>
  </property>
</Properties>
</file>